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010081520240403103117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$396.060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$396.060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