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010050320231214111012000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$1.055.929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$116.149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$224.322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$3.600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$1.400.000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