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473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0"/>
        <w:gridCol w:w="7320"/>
        <w:gridCol w:w="1743"/>
      </w:tblGrid>
      <w:tr>
        <w:trPr>
          <w:trHeight w:val="1410" w:hRule="atLeast"/>
        </w:trPr>
        <w:tc>
          <w:tcPr>
            <w:tcW w:w="141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/>
            </w:r>
          </w:p>
        </w:tc>
        <w:tc>
          <w:tcPr>
            <w:tcW w:w="732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lang w:val="es-CO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UNIVERSIDAD INTERNACIONAL DEL TROPICO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Resolución No.04161 de 19 de mayo de 2009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NIT: 844.002.071-4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CRA 19 39 40 YOPAL - CASANARE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/>
                <w:sz w:val="22"/>
                <w:szCs w:val="22"/>
                <w:lang w:val="es-CO" w:eastAsia="en-US" w:bidi="ar-SA"/>
              </w:rPr>
              <w:t/>
              <w:pict>
                <v:shape type="#_x0000_t75" style="width:90px;height:90px" stroked="f">
                  <v:imagedata r:id="rId6" o:title=""/>
                </v:shape>
              </w:pict>
              <w:t/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485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85"/>
      </w:tblGrid>
      <w:tr>
        <w:trPr>
          <w:trHeight w:val="567" w:hRule="exact"/>
        </w:trPr>
        <w:tc>
          <w:tcPr>
            <w:tcW w:w="1048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exact" w:line="500" w:before="0" w:after="0"/>
              <w:ind w:hanging="165" w:left="81" w:right="139"/>
              <w:jc w:val="right"/>
              <w:rPr>
                <w:rFonts w:ascii="Arial" w:hAnsi="Arial" w:eastAsia="Segoe UI" w:cs="Arial"/>
                <w:b/>
                <w:sz w:val="20"/>
                <w:szCs w:val="16"/>
              </w:rPr>
            </w:pP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Documen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</w:t>
            </w:r>
            <w:r>
              <w:rPr>
                <w:rFonts w:eastAsia="Segoe UI" w:cs="Arial" w:ascii="Arial" w:hAnsi="Arial"/>
                <w:b/>
                <w:spacing w:val="4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sopo</w:t>
            </w:r>
            <w:r>
              <w:rPr>
                <w:rFonts w:eastAsia="Segoe UI" w:cs="Arial" w:ascii="Arial" w:hAnsi="Arial"/>
                <w:b/>
                <w:spacing w:val="12"/>
                <w:sz w:val="20"/>
                <w:szCs w:val="16"/>
                <w:lang w:val="es-CO" w:eastAsia="en-US" w:bidi="ar-SA"/>
              </w:rPr>
              <w:t>r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</w:t>
            </w:r>
            <w:r>
              <w:rPr>
                <w:rFonts w:eastAsia="Segoe UI" w:cs="Arial" w:ascii="Arial" w:hAnsi="Arial"/>
                <w:b/>
                <w:spacing w:val="32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en</w:t>
            </w:r>
            <w:r>
              <w:rPr>
                <w:rFonts w:eastAsia="Segoe UI" w:cs="Arial" w:ascii="Arial" w:hAnsi="Arial"/>
                <w:b/>
                <w:spacing w:val="9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3"/>
                <w:sz w:val="20"/>
                <w:szCs w:val="16"/>
                <w:lang w:val="es-CO" w:eastAsia="en-US" w:bidi="ar-SA"/>
              </w:rPr>
              <w:t xml:space="preserve">adquisiciones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efectuadas</w:t>
            </w:r>
            <w:r>
              <w:rPr>
                <w:rFonts w:eastAsia="Segoe UI" w:cs="Arial" w:ascii="Arial" w:hAnsi="Arial"/>
                <w:b/>
                <w:spacing w:val="6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</w:t>
            </w:r>
            <w:r>
              <w:rPr>
                <w:rFonts w:eastAsia="Segoe UI" w:cs="Arial" w:ascii="Arial" w:hAnsi="Arial"/>
                <w:b/>
                <w:spacing w:val="1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obligados</w:t>
            </w:r>
            <w:r>
              <w:rPr>
                <w:rFonts w:eastAsia="Segoe UI" w:cs="Arial" w:ascii="Arial" w:hAnsi="Arial"/>
                <w:b/>
                <w:spacing w:val="37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4"/>
                <w:sz w:val="20"/>
                <w:szCs w:val="16"/>
                <w:lang w:val="es-CO" w:eastAsia="en-US" w:bidi="ar-SA"/>
              </w:rPr>
              <w:t xml:space="preserve">facturar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No. SP17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470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0"/>
        <w:gridCol w:w="2610"/>
        <w:gridCol w:w="1500"/>
        <w:gridCol w:w="1515"/>
        <w:gridCol w:w="225"/>
        <w:gridCol w:w="1515"/>
        <w:gridCol w:w="1995"/>
      </w:tblGrid>
      <w:tr>
        <w:trPr/>
        <w:tc>
          <w:tcPr>
            <w:tcW w:w="111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Proveedor</w:t>
            </w:r>
          </w:p>
        </w:tc>
        <w:tc>
          <w:tcPr>
            <w:tcW w:w="5625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CLAUDIA AMERICA GARCIA CARO</w:t>
            </w:r>
          </w:p>
        </w:tc>
        <w:tc>
          <w:tcPr>
            <w:tcW w:w="22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Compra</w:t>
            </w:r>
          </w:p>
        </w:tc>
        <w:tc>
          <w:tcPr>
            <w:tcW w:w="199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Vencimiento</w:t>
            </w:r>
          </w:p>
        </w:tc>
      </w:tr>
      <w:tr>
        <w:trPr/>
        <w:tc>
          <w:tcPr>
            <w:tcW w:w="111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NIT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33481785</w:t>
            </w:r>
          </w:p>
        </w:tc>
        <w:tc>
          <w:tcPr>
            <w:tcW w:w="150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Teléfono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3213496662</w:t>
            </w:r>
          </w:p>
        </w:tc>
        <w:tc>
          <w:tcPr>
            <w:tcW w:w="22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1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  <w:lang w:val="es-CO" w:eastAsia="en-US" w:bidi="ar-SA"/>
              </w:rPr>
              <w:t>2025-04-14</w:t>
            </w:r>
          </w:p>
        </w:tc>
        <w:tc>
          <w:tcPr>
            <w:tcW w:w="199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2025-04-14</w:t>
            </w:r>
          </w:p>
        </w:tc>
      </w:tr>
      <w:tr>
        <w:trPr>
          <w:trHeight w:val="287" w:hRule="atLeast"/>
        </w:trPr>
        <w:tc>
          <w:tcPr>
            <w:tcW w:w="111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Dirección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CL 24 25 09 LC 4</w:t>
            </w:r>
          </w:p>
        </w:tc>
        <w:tc>
          <w:tcPr>
            <w:tcW w:w="150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Ciudad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YOPAL</w:t>
            </w:r>
          </w:p>
        </w:tc>
        <w:tc>
          <w:tcPr>
            <w:tcW w:w="22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1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99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455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0"/>
        <w:gridCol w:w="4245"/>
        <w:gridCol w:w="1425"/>
        <w:gridCol w:w="1815"/>
        <w:gridCol w:w="2100"/>
      </w:tblGrid>
      <w:tr>
        <w:trPr/>
        <w:tc>
          <w:tcPr>
            <w:tcW w:w="87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Ítem</w:t>
            </w:r>
          </w:p>
        </w:tc>
        <w:tc>
          <w:tcPr>
            <w:tcW w:w="424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Descripción</w:t>
            </w:r>
          </w:p>
        </w:tc>
        <w:tc>
          <w:tcPr>
            <w:tcW w:w="142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Cantidad</w:t>
            </w:r>
          </w:p>
        </w:tc>
        <w:tc>
          <w:tcPr>
            <w:tcW w:w="18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Unitario</w:t>
            </w:r>
          </w:p>
        </w:tc>
        <w:tc>
          <w:tcPr>
            <w:tcW w:w="210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Total</w:t>
            </w:r>
          </w:p>
        </w:tc>
      </w:tr>
      <w:tr>
        <w:trPr>
          <w:trHeight w:val="292" w:hRule="atLeast"/>
        </w:trPr>
        <w:tc>
          <w:tcPr>
            <w:tcW w:w="8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1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Honorarios p1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1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$ 0,01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$ 0,01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10470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30"/>
        <w:gridCol w:w="1425"/>
        <w:gridCol w:w="2115"/>
      </w:tblGrid>
      <w:tr>
        <w:trPr/>
        <w:tc>
          <w:tcPr>
            <w:tcW w:w="693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Observaciones  PRESTAR, CON PLENA AUTONOMÍA TÉCNICA, ADMINISTRATIVA Y OPERATIVA, SERVICIOS PROFESIONALES EN CONTADURÍA PARA APOYAR LAS FUNCIONES ASIGNADAS A LA OFICINA DE TALENTO HUMANO DURANTE EL AÑO 2025. 
</w:t>
            </w:r>
          </w:p>
        </w:tc>
        <w:tc>
          <w:tcPr>
            <w:tcW w:w="142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Bruto</w:t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$ 0,01</w:t>
            </w:r>
          </w:p>
        </w:tc>
      </w:tr>
      <w:tr>
        <w:trPr/>
        <w:tc>
          <w:tcPr>
            <w:tcW w:w="693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9" w:hRule="atLeast"/>
        </w:trPr>
        <w:tc>
          <w:tcPr>
            <w:tcW w:w="693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Pagar</w:t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$ 0,01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 este documento se le aplican las normas relativas del Documento Soporte en adquisiciones efectuadas a no obligados a facturar. Resolución 167 diciembre 30 de 2021.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CUDS: e8f17cd66c27951a775c06474a1ef4c1fa63f6af89f8a7a497947255b2c182ea0f9a4bc3993ab3e3368d8b99519f7153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 xml:space="preserve">Fecha de Validación  </w:t>
      </w:r>
      <w:r>
        <w:rPr>
          <w:rFonts w:cs="Arial" w:ascii="Arial" w:hAnsi="Arial"/>
          <w:b w:val="false"/>
          <w:bCs w:val="false"/>
          <w:sz w:val="16"/>
        </w:rPr>
        <w:t>2025-04-14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Generado: Sisoft Soluciones Informaticas S.A.S. NIT: 900364032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31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s-CO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7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B07E-FC90-475F-8C0B-06348DA2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Application>LibreOffice/24.2.7.2$Linux_X86_64 LibreOffice_project/420$Build-2</Application>
  <AppVersion>15.0000</AppVersion>
  <Pages>1</Pages>
  <Words>100</Words>
  <Characters>728</Characters>
  <CharactersWithSpaces>791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2025-03-25T21:12:00Z</dcterms:created>
  <dc:creator>Naren Gomez</dc:creator>
  <dc:description/>
  <dc:language>es-CO</dc:language>
  <cp:lastModifiedBy/>
  <dcterms:modified xsi:type="dcterms:W3CDTF">2025-04-15T16:29:36Z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