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1121958055 - 7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CANDIDO MORENO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2021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010060120240315102423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