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6985</wp:posOffset>
                  </wp:positionV>
                  <wp:extent cx="435610" cy="521335"/>
                  <wp:effectExtent l="0" t="0" r="0" b="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69,2461" path="m0,5l0,5xm5,1l0,5l5,0l5,1xm0,5l0,5xm2468,2460l0,5l2468,2460xe" stroked="f" o:allowincell="f" style="position:absolute;margin-left:185.95pt;margin-top:311.5pt;width:69.9pt;height:69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96.95pt;width:441.75pt;height:98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LibreOffice/7.3.7.2$Linux_X86_64 LibreOffice_project/30$Build-2</Application>
  <AppVersion>15.0000</AppVersion>
  <Pages>2</Pages>
  <Words>594</Words>
  <Characters>4360</Characters>
  <CharactersWithSpaces>4802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2024-09-17T14:19:40Z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