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0100003000010923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0000000000010113000000000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000000010113000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YAGUAL VDA IGUAMENA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527 Hectáreas 9,032.00 m2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1233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$ 2.511.829.000,00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CARLOS ALFONSO VALDERRAMA MOYA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19400910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ALGOA E.U.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900108727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20 días del mes de Septiembre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FARLEY MAGALY CAMARGO RODRIGUEZ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2023-09-20 12:03:37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