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0100003026131024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25 días del mes de Octubre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2024-10-25 14:46:59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