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13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Septiembre - Octubre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202211000275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 - 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KMA CONSTRUCCIONES SAS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830094920 - 5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CARTAGENA DE INDIAS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/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$139.000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/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/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Borrador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