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2023-07-31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010050420231023141003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de corrección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010050420231023022542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46379104 - 2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FARLEY MAGALY CAMARGO RODRIGUEZ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YOPAL/CASANARE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3115637756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farmacaro80@gmail.com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XYZ321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MICROBUS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TL 2.5L AT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321.000.000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3.5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Fecha de Acuse 2023-10-23 2:12 PM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