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VERONICA  ARANGO CULMA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1053797254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11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PROFESIONAL UNIVERSITARIO 02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Cinco Millones Quinientos Catorce Mil Veintiun Pesos ($5.514.021,00).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Dos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Abril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Veinticinco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2025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