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ALCALDIA MUNICIPAL DE AGUAZUL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891855200-9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URREGO CRISTANCHO SANDRA ISABEL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AGUAZUL 28/03/2025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47431432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PROFESIONAL UNIVERSITARIO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12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6.400.202,00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2024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12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2025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12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09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186.673,00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2025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30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279.095,00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22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6.865.970,00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 REMUNERADAS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5.035.045,00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3.432.985,00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426.680,00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8.894.710,00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0,00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8.894.710,00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URREGO CRISTANCHO SANDRA ISABEL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47431432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jair@sisoft.com.co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2025-03-28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