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_header2.jpeg" ContentType="image/jpeg"/>
  <Override PartName="/word/_rels/header2.xml.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5B" w:rsidRPr="00A9075B" w:rsidRDefault="00CF34F1" w:rsidP="00A9075B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 w:rsidRPr="00A9075B">
        <w:rPr>
          <w:rFonts w:ascii="Arial" w:hAnsi="Arial" w:cs="Arial"/>
          <w:b/>
          <w:sz w:val="32"/>
          <w:szCs w:val="32"/>
        </w:rPr>
        <w:t>RESUMEN TOTAL DE NÓMINA</w:t>
      </w:r>
    </w:p>
    <w:p w:rsidR="00A9075B" w:rsidRPr="00A9075B" w:rsidRDefault="00A9075B" w:rsidP="00396A08">
      <w:pPr>
        <w:pStyle w:val="Sinespaciado"/>
        <w:rPr>
          <w:rFonts w:ascii="Arial" w:hAnsi="Arial" w:cs="Arial"/>
          <w:sz w:val="32"/>
          <w:szCs w:val="32"/>
        </w:rPr>
      </w:pPr>
    </w:p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DEVENGOS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SUELDO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223.280.738,00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SUBSIDIO DE ALIMENTACION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61.639,00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AUXILIO DE TRANSPORTE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133.333,00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ANUAL POR SERVICIOS PRESTADOS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40.322.810,00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POR RECREACION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414.884,00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SEMESTRAL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3.336.472,00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 PAGADAS EN TIEMPO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 PAGADAS EN DINERO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4.893.492,00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INCAPACIDAD ABULATORIA 2/3 PARTES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911.459,00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INCAPACIDAD DE 1-2 DIAS 100% IBC MES ANT/S.M.B.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DE DIRECCION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DE GESTION TERRITORIAL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MAYOR PAGADO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INTERESES A LAS 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TÉCNICA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DEVENGOS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273.354.827,00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DESCUENTOS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639.812,00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10.583.100,00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55.200,00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10.583.100,00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55.200,00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109.965,00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CREDITO LIBRANZA CREDISERVICIOS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1.995.639,00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1.834.000,00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 BANCO AGRARIO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6.204.680,00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 BANCO BOGOTA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8.169.549,00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LIBRANZAS COMFACASANARE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807.832,00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1.084.930,00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LIBRANZAS DAVIVIENDA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10.370.000,00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PLAN EXEQUIAL COORSERPARK - COMFACASANARE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24.000,00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RETENCION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3.004.000,00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115.500,00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SEGUROS BOLIVAR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621.651,00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SINDICATO ASOMERITOS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159.462,00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DESCUENTOS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56.417.620,00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NETO A PAGAR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NETO A PAGAR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216.937.207,00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NETO A PAGAR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216.937.207,00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CONCEPTOS CONTABLES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10.898.700,00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55.200,00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8.174.300,00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41.400,00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1.364.600,00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7.000,00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1.364.600,00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7.000,00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2.726.100,00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13.900,00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1.378.200,00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22.483.700,00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116.900,00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31.741.900,00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165.000,00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ANUAL POR SERVICIOS PRESTADOS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6.617.500,00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B.E.C.P DIRECCION ALCALDE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6.530.811,00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ESPECIAL DE RECREACION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1.253.944,00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NAVIDAD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21.024.970,00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10.091.983,00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INTERESES A LAS 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2.733.252,00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13.428.900,00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SERVICIOS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9.688.305,00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22.777.038,00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CONCEPTOS CONTABLES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80.538.500,00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94.146.703,00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BASES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DIAS PARA APORTES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1.326,00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BASE PARA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272.443.368,00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BASE LIQUIDACIÓN PARA APORTES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264.515.007,00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IBC DESCUENTO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264.515.007,00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BASE PARA RIESGOS PROFESIONALES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263.603.548,00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IBC OTROS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272.443.368,00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BASES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1.337.521.624,00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sectPr w:rsidR="000E2042" w:rsidRPr="00A9075B" w:rsidSect="00734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E4" w:rsidRDefault="00D52EE4" w:rsidP="008D01AD">
      <w:r>
        <w:separator/>
      </w:r>
    </w:p>
  </w:endnote>
  <w:endnote w:type="continuationSeparator" w:id="0">
    <w:p w:rsidR="00D52EE4" w:rsidRDefault="00D52EE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2025-03-17 11:40:06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191.107.167.171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E4" w:rsidRDefault="00D52EE4" w:rsidP="008D01AD">
      <w:r>
        <w:separator/>
      </w:r>
    </w:p>
  </w:footnote>
  <w:footnote w:type="continuationSeparator" w:id="0">
    <w:p w:rsidR="00D52EE4" w:rsidRDefault="00D52EE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  <w:pict>
        <v:shape type="#_x0000_t75" style="width:100px;height:25.938566552901px" stroked="f">
          <v:imagedata r:id="rId1" o:title=""/>
        </v:shape>
      </w:pict>
      <w:t/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ENERO DE 2025</w:t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DD66FD" w:rsidRDefault="00DD66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D1CD8"/>
    <w:rsid w:val="000E2042"/>
    <w:rsid w:val="00120A87"/>
    <w:rsid w:val="001340AB"/>
    <w:rsid w:val="00173F56"/>
    <w:rsid w:val="00184AE4"/>
    <w:rsid w:val="00187341"/>
    <w:rsid w:val="001A4BDA"/>
    <w:rsid w:val="001D7CE9"/>
    <w:rsid w:val="001F6954"/>
    <w:rsid w:val="00201EF6"/>
    <w:rsid w:val="00212506"/>
    <w:rsid w:val="00224643"/>
    <w:rsid w:val="002543DA"/>
    <w:rsid w:val="002827DF"/>
    <w:rsid w:val="002A7B02"/>
    <w:rsid w:val="002B12B5"/>
    <w:rsid w:val="002D0410"/>
    <w:rsid w:val="002E18F6"/>
    <w:rsid w:val="0034314B"/>
    <w:rsid w:val="00363B89"/>
    <w:rsid w:val="00367A1A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33BEB"/>
    <w:rsid w:val="00440EA4"/>
    <w:rsid w:val="004650BE"/>
    <w:rsid w:val="00467F1A"/>
    <w:rsid w:val="00487495"/>
    <w:rsid w:val="004B09FA"/>
    <w:rsid w:val="004B1B29"/>
    <w:rsid w:val="004C64E5"/>
    <w:rsid w:val="00545025"/>
    <w:rsid w:val="005515F6"/>
    <w:rsid w:val="00551D2F"/>
    <w:rsid w:val="005557AB"/>
    <w:rsid w:val="0059120D"/>
    <w:rsid w:val="005E0097"/>
    <w:rsid w:val="006418B5"/>
    <w:rsid w:val="006A1C92"/>
    <w:rsid w:val="006E10BB"/>
    <w:rsid w:val="00713CAA"/>
    <w:rsid w:val="00734E08"/>
    <w:rsid w:val="00740088"/>
    <w:rsid w:val="007529EB"/>
    <w:rsid w:val="00776B65"/>
    <w:rsid w:val="00782031"/>
    <w:rsid w:val="0078637D"/>
    <w:rsid w:val="007A1220"/>
    <w:rsid w:val="007B5D79"/>
    <w:rsid w:val="007B633D"/>
    <w:rsid w:val="00826983"/>
    <w:rsid w:val="00830A11"/>
    <w:rsid w:val="00831CF6"/>
    <w:rsid w:val="00882483"/>
    <w:rsid w:val="00893961"/>
    <w:rsid w:val="008A26EF"/>
    <w:rsid w:val="008D01AD"/>
    <w:rsid w:val="008D1E68"/>
    <w:rsid w:val="008E3160"/>
    <w:rsid w:val="00912C15"/>
    <w:rsid w:val="00930DFE"/>
    <w:rsid w:val="00936C96"/>
    <w:rsid w:val="009436DA"/>
    <w:rsid w:val="00945DF0"/>
    <w:rsid w:val="00973D15"/>
    <w:rsid w:val="00981C0A"/>
    <w:rsid w:val="0099059A"/>
    <w:rsid w:val="009C7D1D"/>
    <w:rsid w:val="009D11FF"/>
    <w:rsid w:val="009F1FFC"/>
    <w:rsid w:val="00A36E62"/>
    <w:rsid w:val="00A60835"/>
    <w:rsid w:val="00A9075B"/>
    <w:rsid w:val="00AB7880"/>
    <w:rsid w:val="00AC3EEA"/>
    <w:rsid w:val="00AC67CB"/>
    <w:rsid w:val="00AD54A5"/>
    <w:rsid w:val="00AE0DA8"/>
    <w:rsid w:val="00AE6D76"/>
    <w:rsid w:val="00AE7368"/>
    <w:rsid w:val="00B446FE"/>
    <w:rsid w:val="00B50A51"/>
    <w:rsid w:val="00B80EDD"/>
    <w:rsid w:val="00B8751B"/>
    <w:rsid w:val="00B97FC4"/>
    <w:rsid w:val="00BA1E8B"/>
    <w:rsid w:val="00BB04AA"/>
    <w:rsid w:val="00BE762E"/>
    <w:rsid w:val="00C04D10"/>
    <w:rsid w:val="00C311AF"/>
    <w:rsid w:val="00C35CB1"/>
    <w:rsid w:val="00C54BC3"/>
    <w:rsid w:val="00CF34F1"/>
    <w:rsid w:val="00D06AA2"/>
    <w:rsid w:val="00D4530D"/>
    <w:rsid w:val="00D52EE4"/>
    <w:rsid w:val="00D53BB8"/>
    <w:rsid w:val="00D66AA6"/>
    <w:rsid w:val="00DA2E97"/>
    <w:rsid w:val="00DD66FD"/>
    <w:rsid w:val="00E10E80"/>
    <w:rsid w:val="00E21108"/>
    <w:rsid w:val="00E32EC3"/>
    <w:rsid w:val="00E46DF3"/>
    <w:rsid w:val="00E60689"/>
    <w:rsid w:val="00E645BD"/>
    <w:rsid w:val="00E65B48"/>
    <w:rsid w:val="00E84E87"/>
    <w:rsid w:val="00E90944"/>
    <w:rsid w:val="00EC1989"/>
    <w:rsid w:val="00ED04BB"/>
    <w:rsid w:val="00ED2C52"/>
    <w:rsid w:val="00EE399D"/>
    <w:rsid w:val="00EF6C8E"/>
    <w:rsid w:val="00F109EF"/>
    <w:rsid w:val="00F55065"/>
    <w:rsid w:val="00F7281C"/>
    <w:rsid w:val="00F941CD"/>
    <w:rsid w:val="00F94BA4"/>
    <w:rsid w:val="00FA3B29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header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dcterms:created xsi:type="dcterms:W3CDTF">2023-11-18T01:21:00Z</dcterms:created>
  <dcterms:modified xsi:type="dcterms:W3CDTF">2024-01-23T13:54:00Z</dcterms:modified>
</cp:coreProperties>
</file>