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80209909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 LEONARDO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676.500,00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COOSALUD   CODAIFS: ESSC24   NIT: 900226715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74861885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HINCAPIE LANDINEZ ALEXANDER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5.395.089,00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5.395.089,00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215.900,00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458.500,00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674.400,00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5.395.089,00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215.900,00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458.500,00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674.400,00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80811242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DIAZ TOVAR DAIRO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5.537.175,00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5.537.175,00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221.500,00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470.700,00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692.200,00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1049644226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MARQUEZ MEDINA ADRIANA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6.212.332,00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6.212.332,00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248.500,00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528.100,00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776.600,00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11.749.507,00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470.000,00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998.800,00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1.468.800,00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33376676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AVILA SANABRIA ALIETH DEL ROCIO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6.588.038,00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6.588.038,00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263.600,00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823.600,00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46368354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BARAHONA PICO YENNY ASTRID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7.626.675,00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7.626.675,00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305.100,00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648.300,00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953.400,00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7187329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CAMARGO MARTINEZ JOSE ALFREDO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12.119.100,00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12.119.100,00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484.800,00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1.030.100,00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1.514.900,00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23466759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CELY CABALLERO MARIA ODILA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74184847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CHAPARRO MESA JORGE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8.211.735,00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8.211.735,00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328.500,00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698.000,00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1.026.500,00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74372272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CHAPARRO PESCA JORGE ALBERTO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7.501.305,00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7.501.305,00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300.100,00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637.600,00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937.700,00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46383728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CORREA HIGUERA LADY JOHANA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9.172.905,00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9.172.905,00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367.000,00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779.700,00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1.146.700,00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1014220686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GAMEZ PORRAS JUAN CAMILO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5.077.485,00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5.077.485,00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203.100,00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431.600,00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634.700,00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6767486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HERNANDEZ NIÑO JAIRO RICARDO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8.540.831,00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8.540.831,00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341.700,00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726.000,00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1.067.700,00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21070115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MARTINEZ PEÑARANDA SARA SUCEN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6.372.975,00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6.372.975,00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255.000,00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541.700,00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796.700,00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33368466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LARA DIANA MARIA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8.236.809,00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8.236.809,00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329.500,00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700.200,00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1.029.700,00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4090738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MOLINA ROA CARLOS IVAN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52966442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MORENO MESA ANGELA MARIA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221.100,00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469.700,00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690.800,00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87066386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NARVAEZ ORTIZ ILDEFONSO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7.830.610,00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7.830.610,00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313.300,00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665.600,00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978.900,00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26471294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PEREZ GUERRERO YOHAIRA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221.100,00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469.700,00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690.800,00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7178205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RAMOS GUARNIZO EDWIN LEONARDO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5.746.125,00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5.746.125,00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229.900,00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488.400,00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718.300,00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24191572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ROBLES ORTIZ DEISY YANET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676.500,00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79841468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FANDIÑO OSCAR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11.131.393,00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11.131.393,00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445.300,00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946.200,00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1.391.500,00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79040512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ROJAS VERGARA WILLIAM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7.480.410,00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7.480.410,00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91247674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SALAMANCA HERNANDEZ HUGO HERNAN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5.829.705,00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5.829.705,00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233.200,00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495.600,00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728.800,00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79466489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SALCEDO CALDAS HERNANDO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6.769.980,00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6.769.980,00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270.800,00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575.500,00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846.300,00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52994000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ROJAS ANA EDILCE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5.946.717,00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5.946.717,00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237.900,00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505.500,00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743.400,00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30083804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RAMIREZ EMILSE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7.146.090,00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7.146.090,00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285.900,00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607.400,00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893.300,00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46385499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SOTO GOMEZ ERIKA YAZMIN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7.409.785,00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7.409.785,00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296.400,00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629.900,00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926.300,00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33480999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SUAREZ JIMENEZ LUZ ELENA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6.247.605,00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6.247.605,00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250.000,00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531.000,00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781.000,00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7161541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TRUJILLO SUAREZ FERNANDO AUGUSTO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6.832.665,00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6.832.665,00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273.400,00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580.700,00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854.100,00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9431589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URBANO TIBADUIZA PLUTARCO MARIA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8.389.969,00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8.389.969,00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335.600,00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713.200,00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1.048.800,00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74376554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VALDERRAMA GUTIERREZ OMAR MAURICIO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5.808.810,00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5.808.810,00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493.800,00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726.200,00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9430883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VARGAS VILLAMIL ALEJANDRO ALBERTO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5.526.100,00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221.100,00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469.700,00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690.800,00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204.831.437,00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8.194.600,00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17.410.900,00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25.605.500,00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5.411.805,00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460.000,00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676.500,00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5.395.089,00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215.900,00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458.500,00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674.400,00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11.749.507,00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470.000,00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998.800,00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1.468.800,00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204.831.437,00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8.194.600,00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17.410.900,00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25.605.500,00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227.387.838,00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9.097.000,00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19.328.200,00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28.425.200,00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2025-04-15 15:59:37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jair@sisoft.com.co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UNIVERSIDAD INTERNACIONAL DEL TROPICO AMERICANO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MARZO DE 2025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PROFESORES PROVISIONALES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