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001051520250923065254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Certificado de buena conducta-Pregrado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Sistemas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001051520250923065254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Certificado de buena conducta-Pregrado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Sistemas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001051520250923065254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Sistemas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