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010051520240916085456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091600062300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INGENIERÍAS-INGENIERÍA CIVIL-I-CALENDARIO A prueba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010051520240916085456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091600062300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