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000000051520241211093232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factura nueva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000000051520241211093232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2024-12-11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