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SETP990007023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FARLEY MAGALY CAMARGO RODRIGUEZ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46379104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19 14 14 APTO 202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3115637756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farmacaro80@gmail.com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2025-07-12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318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$ 655.000,00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20.00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$ 13.100.000,00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TRECE MILLONES CIEN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$ 13.100.000,00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$ 13.100.000,00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- 2025-POSGRADO-MAESTRIAS-MAESTRÍA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6e7527acb073f458d001a0fb9a531eb309beb5989158f5e664aca2ca3a7f3aa9445b83db41a8f89421451011e86d3227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