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SETP990007093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JOSE MAURICIO BARRERA NUÑEZ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4113676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CLL 12 15 85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AGUAZUL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/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450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$ 11.270.000,00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$ 145.789,00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$ 11.124.211,00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ONCE MILLONES CIENTO VEINTICUATRO MIL DOSCIENTOS ONCE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$ 11.270.000,00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$ 145.789,00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$ 11.124.211,00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- 2026-POSGRADO-FACULTAD DE CIENCIAS-MAESTRÍA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ac7ba89eb4e7a71641652b0da317f66f8f372b956210d2ef45877e2f99d34ad97fbaa6dbaf51a480ba9f0af2560e3f21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