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${numeroemplazamiento}</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${fechaemplazamientodn} de ${fechaemplazamientomc} de ${fechaemplazamientoan}</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${tipo_impuesto_t}</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${vigenciaexpediente}</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${periodoexpediente}</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${numeroexpediente}</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${fechaexpedientedn} de ${fechaexpedientemc} de ${fechaexpedientean}</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${contribuyenteexpediente}</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${idcontribuyenteexpediente}</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${dvcontribuyenteexpediente}</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${direccionnotificacion}</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${departamentonotificacion}</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${municipionotificacion}</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${vigenciaexpediente}</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${contribuyentereportador}</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${contribuyenteexpediente}</w:t>
      </w:r>
      <w:r>
        <w:rPr>
          <w:rFonts w:cs="Arial" w:ascii="Arial" w:hAnsi="Arial"/>
        </w:rPr>
        <w:t xml:space="preserve"> percibió ingresos durante la vigencia </w:t>
      </w:r>
      <w:r>
        <w:rPr>
          <w:rFonts w:eastAsia="Times New Roman" w:cs="Arial" w:ascii="Arial" w:hAnsi="Arial"/>
          <w:color w:val="000000"/>
          <w:lang w:eastAsia="es-CO"/>
        </w:rPr>
        <w:t>${vigenciaexpediente}</w:t>
      </w:r>
      <w:r>
        <w:rPr>
          <w:rFonts w:cs="Arial" w:ascii="Arial" w:hAnsi="Arial"/>
        </w:rPr>
        <w:t xml:space="preserve">, por el suministro de bienes y/o servicios gravados con el Impuesto de Industria y Comercio en el Municipio de aguazul, por un valor de </w:t>
      </w:r>
      <w:r>
        <w:rPr>
          <w:rFonts w:cs="Arial" w:ascii="Arial" w:hAnsi="Arial"/>
          <w:b/>
        </w:rPr>
        <w:t>${valorreportadort} M/CTE ($${valorreportador})</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${direccionnotificacion} </w:t>
      </w:r>
      <w:r>
        <w:rPr>
          <w:rFonts w:cs="Arial" w:ascii="Arial" w:hAnsi="Arial"/>
        </w:rPr>
        <w:t>Municipio de ${municipionotificacion} - ${departamentonotificacion},  la cual fue obtenida ${comunicadonotificacion}.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${elaborodocumento}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