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NELFREY TARACHE RODRIGUEZ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1118534006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24 A 26 09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3115919211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nelfreyt@gmail.com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$51.649.000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$50.609.000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$1.040.000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8551 - Formación académica no formal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NELFREY TARACHE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1118534006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2023-03-28 12:36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