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DISTRIBUCIONES S&L DEL CASANARE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901483903  DV: 6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12 A 11 E 60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PAZ DE ARIPORO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322772566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dslcasanare@gmail.com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$1.443.226.000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$1.386.630.000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4711 - Comercio al por menor en establecimientos no especializados con surtido compuesto principalmente por alimentos, bebidas o tabaco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$23.000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$589.000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$589.000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1115861200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${fecha_firma}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0501000009530323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