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000100120057000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PAMPAS VDA SUNI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1218 Hectárea 8311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296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$ 63.419.000,00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DELIA JOSEFA BOADA ACOSTA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41748071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GOMEZ  MOLINA LUIS ALVARO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19307987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LORENA-ROCIO GOMEZ BOHADA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35198409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RUIZ  GUTIERREZ JAIME ANDRES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71313108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2023-02-10 15:29:36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