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29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CAMARGO RODRIGUEZ FARLEY MAGALY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FARLEY MAGALY CAMARGO RODRIGUEZ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19 14 14 P2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111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29-11-2022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29-11-2022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