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DE TRANSPORTE PARA LA ENTREGA OPORTUNA DE MERCADOS DONADOS POR LA GOBERNACIÓN DE CASANARE LOS CUALES FUERON GESTIONADOS DURANTE LA GRAN DONATÓN CASANARE SOLIDARIO, A FAMILIAS VULNERABLES Y DE BAJOS RECURSOS PARA GARANTIZAR SU SUBSISTENCIA ANTE LA CRISIS HUMANITARIA CAUSADA POR EL CORONAVIRUS-COVID19, Y DEMÁS ACTIVIDADES COMO VISITAS DE CONTROL PARA ATENDER EVENTOS REPORTADOS POR SALUD PUBLICA , EN EL ÁREA RURAL Y URBANA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2020-05-13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2020-06-12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$11.434.400,00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COOMULTRANS CARIBABARE LTDA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Mayo de 2020,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MARCOS ELADIO NIETO,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MONICA ISABEL PELAYO GUTIERREZ, identificado(a) con cédula de ciudadanía 830503974 de HATO COROZAL, representante legal de(l-la) COOMULTRANS CARIBABARE LTDA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EL SERVICIO DE TRANSPORTE PARA LA ENTREGA OPORTUNA DE MERCADOS DONADOS POR LA GOBERNACIÓN DE CASANARE LOS CUALES FUERON GESTIONADOS DURANTE LA GRAN DONATÓN CASANARE SOLIDARIO, A FAMILIAS VULNERABLES Y DE BAJOS RECURSOS PARA GARANTIZAR SU SUBSISTENCIA ANTE LA CRISIS HUMANITARIA CAUSADA POR EL CORONAVIRUS-COVID19, Y DEMÁS ACTIVIDADES COMO VISITAS DE CONTROL PARA ATENDER EVENTOS REPORTADOS POR SALUD PUBLICA , EN EL ÁREA RURAL Y URBANA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$11.434.400,00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$11.434.400,00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Mayo de 2020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MONICA ISABEL PELAYO GUTIERREZ R/L COOMULTRANS CARIBABARE LTDA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