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2022-12-13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PROFESIONAL APOYO,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.,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PEDRO GUILLERMO SERRANO PLAZAS, identificado(a) con cédula de ciudadanía 7363981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0135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2022-07-29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GESTIÓN EN LA IDENTIFICACIÓN, LOCALIZACIÓN, CARACTERIZACIÓN Y DIAGNÓSTICO DE VÍAS TERCIARIAS, EN EJECUCIÓN DEL PROYECTO SECTORIAL DE TRANSPORTE, DEL MUNICIPIO DE HATO COROZAL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2022-07-29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2022-12-28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$12.500.000,00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$12.500.000,00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PEDRO GUILLERMO SERRANO PLAZAS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$2.500.000,00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PEDRO GUILLERMO SERRANO PLAZAS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PROFESIONAL APOYO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JAIME GUARNIZO INOCENCIO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0135 de 2022-07-29 cuyo Objeto: PRESTAR LOS SERVICIOS DE APOYO A LA GESTIÓN EN LA IDENTIFICACIÓN, LOCALIZACIÓN, CARACTERIZACIÓN Y DIAGNÓSTICO DE VÍAS TERCIARIAS, EN EJECUCIÓN DEL PROYECTO SECTORIAL DE TRANSPORTE, DEL MUNICIPIO DE HATO COROZAL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