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del Sector Agropecuario e Impulso al Desarrollo Empresarial y Productivo,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2020851250003</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G11.2.3.2.02.02.009.1702038.2020851250003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$49.000.000,00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G11.2.3.2.02.02.009.1702038.2020851250003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$10.997.692,00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IMPLEMENTAR ACCIONES DE PROMOCIÓN MEDIANTE EL APOYO A 4 EVENTOS, RUEDAS DE NEGOCIOS Y/O FERIAS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normativos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apoyo logístico para la realización de Dos (02) ruedas de negocios y día del campesino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4207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principios fundamentales de la Constitución y los fines esenciales del Estado, el servicio a la comunidad, así como la promoción de la prosperidad general, la garantía y efectividad de los principios y derechos deben prevalecer el cumplimiento de los derechos y libertades de las personas; además de la participación en los temas que afecten su vida económica, social, política y administrativa. (Constitución Política de 1991, artículo 2).
En relación a los derechos sociales, económicos y culturales,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(Constitución Política de 1991, artículo 64).
Asimismo, consagra la Constitución que la producción de alimentos tendrá una especial protección por parte del Estado, por lo tanto, su prioridad será el desarrollo integral de las actividades agrícolas, pecuarias, pesqueras, forestales y agroindustriales, de igual forma las obras de construcción, la infraestructura física y adecuación de tierras. De igual forma, la promoción de la investigación para la producción de alimentos y materias primas, en miras de incrementar la productividad. (Constitución Política de 1991, artículo 65).
Para el caso de las funciones de los Municipios, estos deben elaborar y ejecutar planes de desarrollo en los cuales se deberá tener en cuenta los criterios definidos por la Unidad de Planificación de Tierras Rurales y Usos Agropecuarios-UPRA; adicionalmente, velar por el mejoramiento económico y social de los habitantes de su municipio, donde se busque el fomento de la industria, el comercio y el consumo interno. (Ley 1551 de 2012, artículo 6, numeral 11). Para el caso de las funciones de los Alcaldes, estos deberán “Impulsar el crecimiento económico, la sostenibilidad fiscal, la equidad social y la sostenibilidad ambiental, para garantizar adecuadas condiciones de vida de la población.” (Ley 1551 de 2012, artículo 29, literal F, numeral 2).
Para el caso del Municipio de Hato Corozal, en éste se encuentra un gran número de campesinos con gran tendencia agrícola, pecuaria, pesquera y forestal, siendo su principal actividad económica y que además son el gran aporte a la economía local. Los campesinos han venido experimentando el impacto económico regional debido al Covid-19. Lo anterior, teniendo en cuenta los estudios realizados por el Banco de la República, encontrándose que “Los principales resultados señalan unas pérdidas económicas que varían entre $4,6 billones y $59 billones por mes de acuerdo con los escenarios de aislamiento considerados, cifras que representan entre 0,5% y 6,1% del PIB nacional.” (https://investiga.banrep.gov.co/es/dtser_288 ).  
Asimismo, los efectos negativos para la agricultura y los campesinos, puesto que hay muchos que adolecen de medios tecnológicos y de transporte para sacar sus productos desde el punto del cultivo hasta los centros de acopio. Igualmente, 
Aunque, la Sociedad de Agricultores de Colombia -SAC- argumenta que el aislamiento obligatorio generó una disminución en la demanda (disminución del consumo de los hogares), este factor es poco relevante frente a la situación vivida directamente por los agricultores, quienes manifestaron que por el simple argumento de los intermediarios sobre riesgo por el desplazamiento hacia los centros de acopio y a su vez, el brote del coronavirus en las Centrales de Abastos, especialmente la de Bogotá, no se permitía que los productos cosechados salieran a un precio justo, sino como una caridad, dichos intermediarios pagaban a los agricultores precios por debajo de los márgenes de recuperación de la inversión. (https://www.unbosque.edu.co/centro-informacion/noticias/campesinos-colombianos-afectados-por-el-covid-19). 
Por otro lado y según el balance preliminar de las Economías de América Latina y el Caribe, 
El decrecimiento anual del PIB del tercer trimestre fue de un 9,0%, y sugiere el inicio de la recuperación al compararlo con la caída del 15,8% anual registrada en el segundo trimestre. La rama que contribuye con más del 40% a esta variación anual fue el comercio, que decreció un 20,1%, resultado agregado de distintas actividades muy afectadas por la pandemia. Entre ellas, se destacan las fuertes caídas en alojamiento y servicios de comida (-45,8%) y en los diferentes tipos de transporte y almacenamiento (-27,6%), el descenso en el comercio al por mayor y al por menor y la reparación de vehículos y motocicletas (-3,7%), mientras las actividades de correo y de mensajería se expandieron (13,8%). La construcción también sufrió un profundo descenso (-26,2%) tanto en edificaciones (- 27,2%) como en obras civiles (-24,7%). La debilidad de la demanda mundial explica la reducción de las ventas de carbón (-44,1%) y de petróleo (-15,1%) que provocan la caída del 19,1% en la minería. La industria también se contrae un 7,2%, mucho menos que en el segundo trimestre. En contraste, el sector agropecuario mostró cierta resiliencia y creció un 1,5% anual en el tercer trimestre. Por otra parte, el consumo de los hogares, debilitado por el deterioro de los ingresos, se redujo un 8,9% y muestra una recuperación frente al trimestre anterior. El consumo del gobierno creció un 2% en tanto la inversión cayó un 18,3%, no obstante el impulso de la inversión pública. La demanda externa mantiene su debilidad por un decrecimiento de las exportaciones (-24%), mayor al de las importaciones (-21%). (https://repositorio.cepal.org/bitstream/handle/11362/46501/11/BP2020_Colombia_es.pdf ).
Como es bien sabido, el conflicto armado interno ha sido uno de los eventos de violencia y masacre que ha afectado más exactamente a los campesinos, siendo estas unas relaciones conflictivas entre el sector agrícola, el Estado y los terratenientes; asimismo, fue el nacimiento de uno de los movimientos más referentes de campesinos, los cuales exigían mejorar sus condiciones de vida. (https://www.mincultura.gov.co/areas/poblaciones/conmemoraciones/Paginas/2-de-Junio---D%C3%ADa-Nacional-del-Campesino.aspx ).
Según el Centro Latinoamericano para el Desarrollo Rural-RIMISP, 
Los productores afirman que los precios de los insumos señalados se han mantenido elevados y en tendencia creciente hasta la actualidad. Esta percepción de los y las productoras se ve corroboradas cuando se consulta el comportamiento de los precios internacionales de los fertilizantes, los cuales registran incrementos superiores al 100% desde el inicio de la pandemia, de acuerdo a datos del banco mundial4. De igual forma, como se puede observar en la Tabla 1, al comparar los precios de algunos fertilizantes en los territorios de estudio se identifican grandes variaciones en la mayor parte de esto, encontrándose una variación promedio superior al 100% en los dos años de pandemia, lo que nos da una idea de cómo han vivido estos productores el aumento de los precios de los insumos durante la pandemia. (RIMISP. Análisis de coyuntura Covid-19 en América Latina. 2022. Pág. 5).
Ahora bien, teniendo en cuenta lo contemplado por el Banco Mundial en su balance del 2022 y las perspectivas del 2023; la economía colombiana “Colombia se ha caracterizado por contar con indicadores de estabilidad que se acercan a los parámetros internacionales. Sin embargo 2020, 2021 y 2022 nos alejamos de esta tendencia favorable. La inflación del 12% supera con creces la inflación objetivo y es superior a la inflación mundial del 9,1%. Es común medir la vulnerabilidad macroeconómica mediante el seguimiento a los déficits gemelos. Al cierre de 2022 el déficit fiscal habría sido de 5,6% y el déficit en cuenta corriente alcanzó el 6%. Sin duda, desequilibrios de esta magnitud no son sostenibles en el mediano plazo.” (https://www.andi.com.co/Uploads/INFORME%20PERSPECTIVAS%20ANDI%202023.pdf ).
Asimismo,
El cierre de 2022 se evidenció un cambio en la composición del crecimiento de la economía colombiana, menos concentrado en el consumo privado y el gasto público, y con una mayor dinámica de la inversión.
Con este resultado, el crecimiento de la economía en el periodo 2020-2022 fue, en promedio, de 3,4% anual, muy cerca de su capacidad potencial a pesar de la profunda recesión que experimentó en 2020.
De cara al mediano plazo, sigue siendo inquietante el rezago de la inversión fija frente a los demás componentes de la demanda, lo cual puede terminar reduciendo el crecimiento potencial de la economía colombiana.
Las revisiones del DANE señalan una recuperación todavía más empinada en 2021 y, más recientemente, una convergencia del crecimiento hacia ritmos alineados con la capacidad estructural del aparato productivo (más temprana de lo previsto).
Esta sorpresa a la baja en el crecimiento de 2022 ubica el efecto arrastre para 2023 en 1,0% anual, superior a nuestro estimado anterior (0,7% anual). Mantenemos nuestro pronóstico de crecimiento para este año en 1,0%. (Crecimiento económico en 2022: sorpresas del pasado. Pág. 2).
Adicionalmente, la Administración Municipal consiente de su obligación social y legal con los campesinos de la región, considera necesario desarrollar acciones que busquen la reactivación económica de la población rural que ejercen actividades agrícolas y que aportan al sustento de la comunidad, teniendo en cuenta que la época de la pandemia y el conflicto armado han sido fenómenos que han golpeado su economía y la de la población en general. De esta forma, al realizar una actividad donde se pueda ofertar los productos que se vienen cultivando, además de resaltar la labor que se realiza por parte de ellos, buscando distinguir y celebrar el día dl campesino, de conformidad a los estipulado en el Decreto 834 de 2022; que no se desarrollará dentro de la fecha estipulada en la normatividad, pero que su fin puntual se podrá ejecutar; el cual es “Los gobernadores y alcaldes, o quienes hagan sus veces, adoptarán las decisiones necesarias para el mayor realce de la celebración del día de la población campesina del que trata este decreto.” (Decreto 834 de 2020, artículo 3).
La Administración Municipal, en consideración a las necesidades que se presentaron por la llegada de la pandemia del Convid-19 formuló en su Plan de Desarrollo “Hato Corozal Alto y Sostenible 2020-2023” unas metas para fortalecer las capacidades de los campesinos para la venta de sus productos sin tener que venderlos a los intermediarios a bajos precios, es por esto que, en Línea Estratégica No. 3 Hato Corozal Alto y Sostenible por el fortalecimiento del Agro, la conservación ambiental y el turismo; Programa: Hato Corozal productiva y con proyección regional; Meta Resultado: atender 100 usuarios del sector agropecuario; Meta Producto 1: implementar acciones de promoción mediante el apoyo de 4 eventos, ruedas de negocios y/o ferias.  
Su principal objetivo es que los campesinos del Municipio puedan vender sus productos a nivel local, departamental y nacional, de esta forma viene realizando ruedas de negocios y mercados campesinos, donde se puedan exhibir sus productos, donde puedan llegar compradores menores y mayoritarios, y que estos conozcan la calidad de los mismos. Así entonces, se disminuiría la brecha con los centros de acopio nacional. Para el caso de los pequeños y medianos productores, esto les beneficiaria, generando ingresos sin la inversión y pago de transportes hasta las plazas de mercado departamental y nacional.
Por último, la Administración Municipal cuenta con la disponibilidad presupuestal en el Rubro No. G11.2.3.2.02.02.009.1702038.2020851250003 y G11.2.3.2.02.02.009.1702038.2020851250003 de nombre: SERVICIOS PARA LA COMUNIDAD, SOCIALES Y PERSONALES, cuyas fuentes de financiación son: 100 y 420.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considera necesario la realización de Dos (02) ruedas de negocios, con el objetivo de reactivar la economía y apoyar a los campesinos de la región.</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la ejecución del presente proceso contractual, se requiere el cumplimiento de las siguientes actividades:
PRIMERA RUEDA DE NEGOCIOS
1.	Garantizar la presentación de Un (1) presentador o maestro de ceremonia, quien acompañará en la tarima cultural y artística durante el día del evento.
2.	Garantizar el servicio de sonido por Cuatro (04) horas.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3.	Realizar la entrega de Veinte (20) camibusos y cachuchas debidamente estampados, de conformidad a lo estipulado por parte de la supervisión, las cuales se entregarán a las Veinte (20) personas que sean beneficiarios de la rueda de negocios.
4.	Realizar el alquiler de Cincuenta (50) mesas tipo plástico para la mesa de protocolo, incluye decoración.
5.	Realizar el alquiler de Ocho (08) carpas, garantizar el montaje y desmontaje de carpas (puestas para la exhibición de los productos).
6.	Realizar el alquiler de Doscientas (200) SILLAS PLÁSTICAS: Alquiler de 60 sillas tipo plástico para los asistentes a expositores y asistentes.
SEGUNDA RUEDA DE NEGOCIOS
7.	Garantizar la presentación de Un (1) presentador o maestro de ceremonia, quien acompañará en la tarima cultural y artística durante el día del evento.
8.	Garantizar el servicio de sonido por Cuatro (04) horas.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9.	Realizar la entrega de Cuatro (04) Molino Eléctrico Casero Para Carne. acero inoxidable, hierro y aluminio, motor potente de 1200W.
10.	Realizar el alquiler de Cincuenta (50) mesas tipo plástico para la mesa de protocolo, incluye decoración.
11.	Realizar el alquiler de Ocho (08) carpas, garantizar el montaje y desmontaje de carpas (puestas para la exhibición de los productos).
12.	Realizar el alquiler de Doscientas (200) SILLAS PLÁSTICAS: Alquiler de 60 sillas tipo plástico para los asistentes a expositores y asistentes.
DÍA DEL CAMPESINO
13.	Prestar el servicio de transporte. Garantizar el servicio de transporte a 15 rutas para el día del campesino.
14.	Garantizar la hidratación mediante la entrega de Mil (1.000) bolsas de agua de 350 mil para el desarrollo de la actividad.
15.	Garantizar la presentación de Uno (01) maestro de ceremonia), quien acompañara en la tarima cultural y artística durante Un (01) días del evento, realizando intervenciones alusivas al rescate de los valores y tradiciones culturales. Los exponentes deberán acreditar experiencia en la presentación de mínimo Dos (02) eventos culturales.
16.	Realizar la entrega de Mil (1.000) Manillas En fibra de papel resistente al agua, Pegante de seguridad.
17.	Elaborar y presentar para aprobación del CMGRD, el Plan de contingencia: Documento elaborado bajo los estándares definidos por el Comité Municipal de Gestión del Riesgo (CMGRD) y debidamente aprobado por dicho comité, el cual incluye póliza de responsabilidad civil extracontractual, que ampare riesgos inherentes a las actividades culturales del contrato, el acompañamiento por parte de cuerpos de socorro y servicio de ambulancia.
18.	Prestar el servicio de alquiler de Doscientas (200) de mesas tipo plástico para la mesa de protocolo, incluye decoración.
19.	Prestar el servicio de alquiler de sillas Trescientos (300) tipo plástico para los asistentes a expositores y asistentes.
20.	Prestar el servicio de alquiler Un (01) baño portátil, los cuales deberán funcionar durante todo el evento.
INCENTIVOS MEJORES PRODUCTOS
21.	Realizar la entrega de Ocho (08) Carretilla Buggy Anti Pinchazo 120 Lt Platón Plástico Truper.
22.	Realizar la entrega de Ocho (08) Fumigadora De Espalda, con capacidad minima de 20 Litros. Material (plástico).
23.	Realizar la entrega de Cuatrocientas Cuarenta (440) Aves de corral (pollos de engorde) raza (Ross) de 1 a 3 días de nacidos (con registro de vacuna).
24.	Realizar la entrega de Veintidós (22) bultos de Alimentos para pollos de iniciación y de engorde, bulto por 40 Kg.
25.	Realizar la entrega de Veintidós (22) Hervidores de agua para pollo (bebedero) capacidad 5 Litros.
26.	Realizar la entrega de Veintidós (22) Comederos para pollos, capacidad de 7 Kilogramos.
INCENTIVOS POR PARTICIPAR
27.	Realizar la entrega de Noventa y Tres (93) Cobijas, frazada, manta (Diversidad de colores), medidas mínimas de: 1.95 ancho x 2.15 largo.
28.	Realizar la entrega de Setenta (70) Kit compuesto por: palin y peinilla.
29.	Realizar la entrega de Setenta (70) Kit compuesto por: palin y rastrillo con palo y metálico.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53102516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56101522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52141520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52141542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52141524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95131700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de anexo técnico.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población con enfoque de derechos primero. Para la inclusión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ARTÍCULO 43.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Ley 1551 de 2012, artículo 6, numeral 7.
7.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(Ley 1551 de 2012, artículo 6, numeral 7).</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abril se solicitaron y recibieron Tres (03) cotizaciones WyL S.A.S. Inversiones Nit. No. 900.984.901, JABENE Nit. No. 901.480.538 y Cooperativa de Profesionales al Servicio de Arauca-COPROSAR Nit. No. 834-001-670-5.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Cincuenta y Nueve Millones Novecientos Noventa y Siete Mil Seiscientos Noventa y Dos Pesos M/Cte. ($59.997.692), con recursos del presupuesto municipal de la vigencia fiscal 2021, prevenientes de la fuente:  SGP PROPOSITO GENERAL FORZOSA INVERSION LIBRE INVERSIÓN SGP ONCE DOCEAVAS VIGENCIA ACTUAL MAS ULTIMA DOCEAVA VIGENCIA ANTERIOR. El proceso incluye todos los costos e impuestos en los que incurra el contratista para la ejecución del contrato, (garantías, costos directos, indirectos, utilidad, imprevistos y administración).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LOGÍSTICOS PARA LA REALIZACIÓN DE RUEDAS DE NEGOCIOS Y DÍA DEL CAMPESINO, QUE BUSQUEN PROMOCIONAR A PEQUEÑOS Y MEDIANOS PRODUCTORES AGRICOLAS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mediante actas parciales hasta un Noventa Por Ciento 90%, teniendo en cuenta la ejecución de las actividades, previa presentación de informe de actividades y presentación de factura legal y/o cuenta de cobro, pago de seguridad social y certificación de cumplimiento por parte del supervisor. Y Un (10%) con el último pago, presentar factura y/o cuenta de cobro pago de seguridad social y certificación de cumplimiento por parte del supervisor y suscripción del acta de terminación y liquidación.
	Informe técnico y financiero junto con los soportes de los servicios prestados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59.997.692,00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