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SERVIR DE ENLACE INDÍGENA ENTRE EL MUNICIPIO DE HATO COROZAL Y LAS COMUNIDADES INDÍGENAS DE LOS RESGUARDOS DE CAÑO MOCHUELO Y BARRO NEGRO JURISDICCIÓN DEL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2023-02-23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SANTIAGO JOROPA CATIMAY, identificado(a) con cédula de ciudadanía 1098603793 de BUCARAMANGA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SERVIR DE ENLACE INDÍGENA ENTRE EL MUNICIPIO DE HATO COROZAL Y LAS COMUNIDADES INDÍGENAS DE LOS RESGUARDOS DE CAÑO MOCHUELO Y BARRO NEGRO JURISDICCIÓN DEL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