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E211.2.3.2.02.02.009.4103005.2021851250007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BENEFICIAR A 100 MUJERES EN CONDICIÓN DE POBREZA Y VULNERABILIDAD CON CAPACITACIÓN EN FOMENTO DE ACTIVIDADES PRODUCTIVAS, OFICIOS MANUALES, ARTESANÍAS, ESTILOS DE VIDA SALUDABLE Y NUTRICIÓN, ENTRE OTROS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Prestación de servicios para garantizar la realización del evento "Carrera de la Mujer Alto y Sostenible 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9989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velar por el cumplimiento de los fines esenciales del Estado, es por esto que presta el servicio a la comunidad, garantiza el cumplimiento de los derechos y libertades que se encuentran consagrados en la Constitución Política de 1991, además que realiza un trabajo mancomunado con las autoridades de la república para proteger a las personas “…”en su vida, honra, bienes, creencias, y demás derechos y libertades, y para asegurar el cumplimiento de los deberes sociales del Estado y de los particulares.” (Constitución Política de 1991, artículo 2).
Así entonces, considera la Constitución el trato igualitario para todas las personas, por eso estas nacen libres e iguales ante la Ley y recibirán un trato igualitario por parte de las Entidades, Instituciones y autoridades de la república. “El Estado protegerá especialmente a aquellas personas que por su condición económica, física o mental, se encuentren en circunstancia de debilidad manifiesta y sancionará los abusos o maltratos que contra ellas se cometan.” (Constitución Política de 1991, artículo 13).
Por lo anterior, dentro de los derechos sociales, económicos y culturales se insta a velar por el trato igualitario a la mujer y al hombre en razón a derechos y oportunidades. De tal forma que, no será sometida a ningún trato discriminatorio y se apoyará especialmente a la mujer cabeza de familia, teniendo en cuenta que es un sujeto de especial protección. (Constitución Política de 1991, artículo 43).
Para el caso de las funciones de los Municipios, es prudente mencionar que se debe procurar la solución de las necesidades insatisfechas de los habitantes, haciendo énfasis a los “…” niños, las niñas, los adolescentes, las mujeres cabeza de familia, las personas de la tercera edad, las personas en condición de discapacidad y los demás sujetos de especial protección constitucional” (Ley 1551 de 2012, artículo 6, numeral 7).
Ahora bien, el tema de la inclusión y empoderamiento de la mujer, viene de tratándose desde la Organización de las Naciones Unidas, es por esto que, bajo la Ley 51 de 1981 se aprueba y adopta la Convención sobre la eliminación de todas las formas de discriminación contra la mujer. Asimismo, en miras de desarrollar el artículo 42 de la Constitución, buscando prevenir, remediar y sancionar la violencia intrafamiliar (reformada por la Ley 1257 de 2008). Posteriormente, se reglamente la participación equitativa y efectiva de la mujer en los niveles de las diferentes ramas y órganos del poder público (ley 581 de 2000); para el caso de la Ley 823 de 2003, ésta tiene por objeto establecer un marco n0ormativo para orientar las políticas y acciones del gobierno para garantizar la equidad e igualdad de oportunidades de las mujeres en el ámbito público y privado. (Ley 823 de 2003). Asimismo, se dictan normas de sensibilización, prevención y sanción de todas las formas de violencia y discriminación contra las mujeres. (Ley 1257 de 2008). Para el caso de la Ley 1542 de 2012, se reforma el Código de Procedimiento Penal en su artículo 74, derogando el carácter de querellable y desistible a los delitos de violencia intrafamiliar e inasistencia alimentaria. 
Son muchas las acciones que se han venido desarrollando desde el ámbito internacional y nacional buscando la igualdad de los géneros y empoderamiento de la mujer. De esta forma, se la Organización de las Naciones Unidas proclamó en el año 1975 el día de la mujer el 8 de marzo, debido a las manifestaciones de las mujeres, especialmente en Europa, las cuales reclamaban el derecho al voto, mejores condiciones de trabajo e igualdad entre los sexos. (https://www.un.org/es/observances/womens-day/background ).
La Administración Municipal en miras de cumplir con lo preceptuado en las diferentes Convenciones, la Constitución Política de 1991 y normatividad vigente, incluyó dentro de su Plan de Desarrollo metas para lograr el empoderamiento de la mujer dentro de su territorio. Por lo tanto, en la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 
Es por esto que se considera necesaria la realización de un evento de integración para las mujeres, como lo es “La Carrera de la Mujer Alto y Sostenible” el desarrollo del evento será transmitir mensajes de inclusión, bienestar y empoderamiento de las mujeres, a través de la carrera atlética. En este evento se entregarán incentivos como: cachucha, camiseta deportiva, botilo para el agua, además de un kit compuesto por: crema para manos y splash aromatizante; la rifa de Bicicletas MTB. Se contará con la entrega de refrigerio e hidratación. Asimismo, con el objetivo de crear hábitos de vida saludable, se llevará a cabo una jornada de aeróbicos, por lo que se presentará un instructor para que las guié dentro de la jornada. 
Adicionalmente, con este evento buscan que el máximo posible  que en torno a las mujeres, las familias se unan y experimenten la emoción de los valores del deporte y se inspiren en ellos para llevar sus vidas a estándares más altos de salud, motivación, productividad y sensibilidad por causas nobles, en tal sentido es necesario incentivar a los participantes y reconocer a quienes se destaquen en las diferentes pruebas y categorías, a fin de  promover la actividad física como referente de disciplina, superación, auto-conocimiento, respeto de normas, resiliencia, coraje y de la satisfacción del logro de los objetivos.
Lo anterior, teniendo en cuenta que la sociedad actualmente se encuentra condicionada por los estereotipos de género y el deporte juega un papel muy importante en el proceso de empoderamiento de las mujeres, puesto que les permite ser más críticas con ellas mismas y con la sociedad, aumentando su confianza. 
Por último y para garantizar el cumplimiento de la Ley 397 de 1997, el Municipio cuenta con la disponibilidad presupuestal en el Rubro No. E211.2.3.2.02.02.009.4103005.2021851250007 de nombre: SERVICIOS PARA LA COMUNIDAD, SOCIALES Y PERSONALES, cuya fuente de financiación es: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de Desarrollo Social, Integral y Productivo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Realización del evento "Carrera de la Mujer Alto y Sostenible 2023"</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durante Ocho (08) horas el servicio de sonido.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2.	Garantizar la presentación de Un (1) presentador o maestro de ceremonia, quien acompañará en la tarima durante el día del evento.
3.	Realizar la entrega de Cien (100) Kit de incentivo compuesto por: Cachucha, Camiseta deportiva estampadas en sublimacion, cuello redondo, colores y logos suministrados por la Supervisión y botilo de plástico de 500 ml).
4.	Garantizar la hidratación mediante la entrega de Setecientas (700) bolsas de agua de 350 mil para el desarrollo de cada una de las actividades.
5.	Contar la presentación de Un (01) Instructor de aeróbicos para que dirija la jornada deportiva.
6.	Realizar la entrega de Cinco (05) Bicicleta mtb: MARCO: Aluminio. SUSPENSIÓN DELANTERA: bloqueo al hombro. RINES: En aluminio LLANTAS: 29X2.1 27 TPI doble propósito. GRUPO: 7 velocidades. TRIPLATO o MONOPLATO PACHA: 7 piñones CADENILLA: PLATA 1/2 * 3/32 114L. FRENOS: Disco mecánico 160 MM. SILLIN. POSTE DE SILLIN: Aluminio MANURIO: Aluminio PEDALES: DE MTB con plataforma y agarre. Estas bicicletas serán entregadas como incentivo a las mujeres participantes de la carrera.
7.	Entregar Noventa y Seis (96) Kit de incentivo compuesto por: splach y crema de manos.
8.	Suministrar Doscientos Cinco (205) refrigerios, el cual consiste en un producto sólido y un producto refrescante. Se debe garantizar Un (1) sándwich de pollo y una bebida con jugo de fruta en envase desechable.
1.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53131613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49221510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53103000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52152010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“Hato Corozal Alto y Sostenible 2020-2023”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(Constitución Política de 1991, artículo 43).
Ley 51 de 1981 &amp;quot;Por medio de la cual se aprueba la Convención sobre la eliminación de todas las formas de discriminación contra la mujer, adoptada por la Asamblea General de las Naciones Unidas el 18 de diciembre de 1979 y firmada en Copenhague el 17 de julio de 1980.
Ley 1257 de 2008 Por la cual se dictan normas de sensibilización, prevención y sanción de formas de violencia y discriminación contra las mujeres, se reforman los Códigos Penal, de Procedimiento Penal, la Ley 294 de 1996 y se dictan otras disposiciones.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febrero se solicitaron  y recibieron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Diecinueve Millones Novecientos Noventa y Ocho Mil Pesos M/Cte. ($19.998.000), con recursos del presupuesto municipal de la vigencia fiscal 2023.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TIPIFICACIÓN DE RIESGOS: 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&amp;amp;amp;quot;En los contratos  estatales  se mantendrá  la igualdad  o equivalencia  entre derechos y obligaciones  al momento  de proponer o de contratar según el caso (...)</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LOGÍSTICOS PARA LA REALIZACIÓN DE LA PRIMERA CARRERA DE LA MUJER “ALTO Y SOSTENIBLE 2023”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mediante actas parciales hasta el 80%, previa presentación de informe de actividades y presentación de factura legal y/o cuenta de cobro,  pago de seguridad social y certificación de cumplimiento por parte del supervisor. Y el 20% para la liquidación, presentando factura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19.998.000,00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