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0189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0189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2022-10-06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INFRAESTRUCTURA FISICA REQUERIDA PARA LA CORRECTA OPERACIÓN DE LA PLANTA DE TRATAMIENTO DE AGUA POTABLE DEL MUNICIPIO DE HATO COROZAL, DEPARTAMENTO DE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$414.903.366,00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HOLDER PARRA GIRON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0189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2022-10-06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Veinte  (20)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ampliación a la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