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2022-11-15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2-1-AM/2.1.2.02.01.002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PRODUCTOS ALIMENTICIOS, BEBIDAS Y TABACO; TEXTILES, PRENDAS DE VESTIR Y PRODUCTOS DE CUERO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GENERAL-LIBRE DESTINACION MUNICIPIOS CATEGORIAS 4, 5 Y 6</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$7.052.600,00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Adquisición de Tres (03) dotaciones vestuario y calzado para mujer y Tres (03) dotaciones vestuario y calzado para hombre.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5 Cinco (05) empleados de planta que devengan menos de Dos (02) salarios mínimos legales mensuales vigentes, de acuerdo a lo estipulado para el año 2022</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preceptos (Constitución Política de 1991, artículo 209), es prudente resaltar que, el fin de la función administrativa es estar al servicio de los intereses generales. Asimismo, la Ley 489 de 1988 insta que,
La función administrativa se desarrollará conforme a los principios constitucionales, en particular los atinentes a la buena fe, igualdad, moralidad, celeridad, economía, imparcialidad, eficacia, eficiencia, participación, publicidad, responsabilidad y transparencia. Los principios anteriores se aplicarán, igualmente, en la prestación de servicios públicos, en cuanto fueren compatibles con su naturaleza y régimen. (Ley 489 de 1998, artículo 3).
Teniendo En cuenta lo consagrado en la Ley 70 de 1988, se insta a la disposición del suministro de calzado y vestido de labor para los empleados del sector público. 
Los empleados del sector oficial que trabajan al servicio de los ministerios, departamentos administrativos, superintendencias, establecimientos públicos, unidades administrativas especiales, empresas industriales o comerciales de tipo oficial y sociedades de economía mixta, tendrán derecho a que la entidad con que laboran les suministre cada cuatro (4) meses, en forma gratuita, un par de zapatos y un (1) vestido de labor, siempre que su remuneración mensual sea inferior a dos (2) veces el salario mínimo legal vigente, Esta prestación se reconocerá al empleado oficial que haya cumplido más de tres (3) meses al servicio de la entidad empleadora. (Ley 70 de 1988, artículo 1).
Igualmente, consagra la presente Ley que la dotación en vestuario no configura salario, ni se computará dentro del mismo. Lo anterior, teniendo en cuenta el artículo 41 del Decreto 1042 de 1978. (Ley 70 de 1988, artículo 2).
Asimismo, el decreto por medio del cual se reglamenta parcialmente la Ley 70 de 1988, 
Los trabajadores permanentes vinculados mediante relación legal y reglamentaria o por contrato de trabajo, al servicio de los Ministerios, departamentos administrativos, superintendencias, establecimientos públicos, unidades administrativas especiales, empresas industriales o comerciales de tipo oficial y sociedades de economía mixta tanto en el orden nacional como en las entidades territoriales; tendrán derecho a que la respectiva entidad les suministre en forma gratuita, cada cuatro meses, un par de zapatos y un vestido de trabajo. (Decreto 1978 de 1989, artículo 1).
Es indispensable resaltar que para ser beneficiario de la presente dotación, el trabajador deberá haber laborado para la entidad por lo menos Tres (03) meses ininterrumpidamente antes de la fecha del suministro, además deberá devengar una remuneración mensual menor a Dos (02) veces el salario mínimo legal vigente. (Decreto 1978 de 1989, artículo 3).
Referente al tipo de calzado y vestido de labor, se consideran como: “las prendas apropiadas para la clase de labores que desempeñen los trabajadores beneficiarios, de acuerdo con el medio ambiente en donde cumple sus actividades” (Decreto 1978 de 1989, artículo 5).
Adicionalmente, para la definición del tipo de dotación que se otorga al trabajador, las entidades deberán tener en cuenta que:
a) Naturaleza y tipo de actividad que desarrolla la entidad; b) Naturaleza y tipo de función que desempeña el trabajador; c) Clima, medio ambiente, instrumentos, materiales y demás circunstancias y factores vinculados directamente con la labor desarrollada. (Decreto 1978 de 1989, artículo 6).
Dentro de las obligaciones que tiene el trabajador, se encuentra la de recibir la dotación que se entregue y utilizarla en el desarrollo de sus labores; al no cumplir con dicha actividad, podrá liberar al empleador de la obligación mencionada. (Decreto 1978 de 1989, artículo 8).
De igual forma, el Código Sustantivo del Trabajo en su Título VIII “Prestaciones patronales comunes” Capítulo IV “Calzado y overoles para trabajadores” insta en el artículo 230 a que:
Todo patrono que habitualmente ocupe uno (1) o más trabajadores permanentes, debe suministrar cada seis (6) meses, los días treinta (30) de junio y veinte (20) de diciembre, en forma gratuita, un (1) par de zapatos de cuero o caucho, a todo trabajador cuya remuneración sea inferior a ciento diecisiete mil ciento veintiun pesos ($117.121) mensuales.  (Código Sustantivo del Trabajo, artículo 230).
Para el caso del municipio de la Administración Municipal “Hato Corozal Alto y Sostenible 2020-2023” según certificación expedida por el jefe de talento humano, se cuenta con cinco (05) empleados de planta que devengan menos de Dos (02) salarios mínimos legales mensuales vigentes, de acuerdo a lo estipulado para el año 2022 del salario mínimo legal mensual vigente es de Un millon de  Pesos M/Cte. ($1.000.000). Y los empleados a los que hace referencia el certificado devengan menos de los Dos (02) SMLMV; por lo que se hace necesario suministrar la dotación a que hace referencia la Ley 70 de 1988, el Decreto 1978 de 1989 y Código Sustantivo del Trabajo.  
Por lo anterior y teniendo en cuenta la obligación legal y constitucional que la Entidad Territorial tiene con sus empleados, se hace conveniente contratar la compraventa de la dotación dirigida a los funcionarios de la Administración Municipal, la cual se encuentra compuesta por: Un (01) par de zapatos y Un (01) vestido de labor. En total se entregarán Tres dotaciones a cada uno de los funcionarios que se beneficien con ello. De esta forma, se podrá desarrollar por parte de los trabajadores sus funciones en completa cabalidad y en condiciones cómodas, además que les ayuda a mantener un buen bienestar social.
Por último, es prudente la presente adquisición a sabiendas que se cuenta con la disponibilidad presupuestal en el Rubro No.  2-1-AM/2.1.2.02.01.002 de nombre: PRODUCTOS ALIMENTICIOS, BEBIDAS Y TABACO; TEXTILES, PRENDAS DE VESTIR Y PRODUCTOS DE CUERO, cuya fuente de financiación es:360- SGP PROPOSITO GENERAL 42 POR CIENTO RECURSOS LIBRE DESTINACION SGP PROPOSITO GENERAL MPIOS DE CATEGORIA 4 5 Y 6 SGP ONCE DOCEAVAS VIGENCIA ACTUAL MAS ULTIMA DOCEAVA VIGENCIA ANTERIOR.</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la Administración Municipal es de importancia dar cumplimiento a lo establecido en la Ley 70 de 1988, Decreto 1978 de 1989 y Código sustantivo del trabajo con el objetivo de satisfacer las necesidades de dotación al personal de planta de la Alcaldía Municipal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entrega de Tres (03) dotaciones para mujer, de acuerdo a lo descrito en las especificaciones técnicas anexas al presente estudio previo.
2.	Realizar la entrega de Tres (03) dotaciones para hombre de acuerdo a lo descrito en las especificaciones técnicas anexas al presente estudio previo.
Obligaciones del contratista 
-Dar cumplimiento a las garantías y especificaciones técnicas correspondientes, previa certificación de la supervisión.
-El contratista debe garantizar la calidad de los productos.
-Si al momento de la entrega y revisión se presenta algún imperfecto en los elementos entregados o especificaciones diferentes, el contratista realizará el cambio de los mismos.
-Las prendas deberán ser nuevas y de buena calidad.
-Diligenciar planilla con los datos de los beneficiarios al momento de recibir las prendas.
-Presentar factura de ingreso a Almacén Municipal.
-Presentar informe final detallado donde se indique el cumplimiento de las especificaciones técnicas descritas en el documento adicional, con visto bueno del supervisor y presentar el pago de seguridad social.
-Atender los requerimientos del supervisor. 
Garantizar los derechos a favor del municipio, como consumidor de la ley 1480 de 2011, por medio del cual se expide el estatuto del consumidor.
“derecho a recibir productos de buena calidad: recibir el producto de conformidad con las condiciones que establece la garantía legal, las que se ofrezcan y las habituales.” (Ley 1480 de 2011, artículo 3 Numeral 1.1.)</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53111802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53101504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53101502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53101602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53111602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53101604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70 de 1988 "Por la cual se dispone el suministro de calzado y vestido de labor para los empleados del sector público." 
“Los empleados del sector oficial que trabajan al servicio de los ministerios, departamentos administrativos, superintendencias, establecimientos públicos, unidades administrativas especiales, empresas industriales o comerciales de tipo oficial y sociedades de economía mixta, tendrán derecho a que la entidad con que laboran les suministre cada cuatro (4) meses, en forma gratuita, un par de zapatos y un (1) vestido de labor, siempre que su remuneración mensual sea inferior a dos (2) veces el salario mínimo legal vigente, Esta prestación se reconocerá al empleado oficial que haya cumplido más de tres (3) meses al servicio de la entidad empleadora” (Ley 70 de 1988, artículo 1º)
Decreto 1978 de 1989 "Por el cual se reglamenta parcialmente la Ley 70 de 1988"
"Los trabajadores permanentes vinculados mediante relación legal y reglamentaria o por contrato de trabajo, al servicio de los Ministerios, departamentos administrativos, superintendencias, establecimientos públicos, unidades administrativas especiales, empresas industriales o comerciales de tipo oficial y sociedades de economía mixta tanto en el orden nacional como en las entidades territoriales; tendrán derecho a que la respectiva entidad les suministre en forma gratuita, cada cuatro meses, un par de zapatos y un vestido de trabajo." (Decreto 1978 de 1989, artículo 1).</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basándose en la necesidad de la Administración Municipal de adquirir la dotación para los empleados de planta de la Alcaldía y dar cumplimiento a lo establecido en la Ley 70 de 1988.
En el mes de septiembre de 2022, se enviaron solicitudes de cotizaciones a las empresas: Eliecer Albarracín Rivera, wilson  Ricardo Romero Alvarado y T&amp;R SOLUTIONS ROBRI (Ver anexo).
En el mes de octubre de 2022 se recibieron Tres (03) cotizaciones de las empresas: Eliecer Albarracín Rivera,  wilson  Ricardo Romero Alvarado y T&amp;R SOLUTIONS ROBRI (Ver anexo)
CONCLUSIÓN:
La cotización que se tendrá en cuenta para la elaboración del presupuesto oficial, es la oferta de los elementos con las características, especificaciones técnicas y condiciones de entrega, acorde con las requeridas por el municipio.
Con base en lo anterior, se tiene que el valor total del contrato a celebrar es, por la suma de: Siete Millones cincuenta y dos  Mil seiscientos Pesos ($7.052.600) con recursos del presupuesto municipal vigencia fiscal 2022, Rubro No. 2-1-AM/2.1.2.02.01.002 de nombre 360-PRODUCTOS ALIMENTICIOS, BEBIDAS Y TABACO; TEXTILES, PRENDAS DE VESTIR Y PRODUCTOS DE CUERO, con fuente: SGP PROPOSITO GENERAL 42 POR CIENTO RECURSOS LIBRE DESTINACION SGP PROPOSITO GENERAL MPIOS DE CATEGORIA 4 5 Y 6 SGP ONCE DOCEAVAS VIGENCIA ACTUAL MAS ULTIMA DOCEAVA VIGENCIA ANTERIOR. Dicho contrato incluye todos los costos e impuestos en los que incurra el contratista para la ejecución del contrato (garantías, costos directos, indirectos, utilidad, imprevistos, administración).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invitacion</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invitacion</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invitacion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“COMPRA DE (VESTUARIO Y CALZADO)   PARA LOS FUNCIONARIOS  DE LA ADMINISTRACIÓN MUNICIPAL “HATO COROZAL ALTO Y SOSTENIBLE 2020-2023” QUE ADQUIRIERON EL DERECHO A DOTACION DENTRO DE LOS TERMINOS EN CUMPLIMIENTO A LO PRECEPTOS CONSAGRADOS EN LA LEY 70 DE 1988 Y DEMÁS NORMAS CONCORDANTES.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cien por ciento (100%) del valor del contrato contra entrega, previa presentación de factura, junto con la entrada a Almacén, certificación de cumplimiento por parte del supervisor y suscripción de acta de terminación y liquidación y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7.052.600,00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ROSMIRA SAAVEDRA VELA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23710093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