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0201 de Fecha 2022-11-03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CUERPO DE BOMBEROS VOLUNTARIOS DE HATO COROZAL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“PRESTAR LOS SERVICIOS A LA GESTION INTEGRAL DEL RIESGO CONTRA INCENDIOS, LOS PREPARATIVOS Y ATENCION DE RESCATES EN TODAS SUS MODALIDADES Y ATENCION DE INCIDENTES CON MATERIALES PELIGROSOS COMO CUERPO DE BOMBEROS VOLUNTARIOS DEL MUNICIPIO DE HATO COROZAL.”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$32.955.455,33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Veinticinco  (25)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2022-11-03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0201 del 2022-11-03,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 Y Veinticinco  (25)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2022-11-03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30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EL valor del contrato de la siguiente forma:
-Un anticipo del Treinta Por Ciento (30%) del valor del contrato, previa presentación del plan de inversión del anticipo y su respectiva aprobación por parte de la supervisión, perfeccionamiento y suscripción del acta de inicio y demás documentos necesarios para su legalización. 
pagos parciales hasta un Sesenta Por Ciento (60%) del valor del convenio, previa amortización del anticipo, una vez se haya presentado por parte del contratista:
Informe técnico y financiero junto con los soportes, según el objeto contractual (anexar en medio físico y registro fotográfico, facturas, entre otros).
Certificación de cumplimiento expedida por parte del Supervisor designado.
Copia de los pagos al Sistema de Seguridad Social conforme a la Ley 828 de 2003 (salud, pensión, riesgos profesionales) y aportes parafiscales. Cuando a ello haya lugar del correspondiente mes cobrado.
Todos los documentos de pago deberán ser avalados por el supervisor designado por el Municipio.
-Un pago final del Diez Por Ciento (10%) del valor total del contrato previa suscripción del acta de terminación y liquidación, además de:
Informe técnico y financiero junto con los soportes, según el objeto contractual (anexar en medio físico y registro fotográfico, facturas, entre otros).
Certificación de cumplimiento expedida por parte del Supervisor designado.
Copia de los pagos al Sistema de Seguridad Social conforme a la Ley 828 de 2003 (salud, pensión, riesgos profesionales) y aportes parafiscales. Cuando a ello haya lugar del correspondiente mes cobrado.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$19.753.786,00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$9.868.596,00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$13.201.669,33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$9.868.596,00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$9.868.596,00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0201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2022-11-03.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0201 de 2022-11-03 cuyo Objeto: “PRESTAR LOS SERVICIOS A LA GESTION INTEGRAL DEL RIESGO CONTRA INCENDIOS, LOS PREPARATIVOS Y ATENCION DE RESCATES EN TODAS SUS MODALIDADES Y ATENCION DE INCIDENTES CON MATERIALES PELIGROSOS COMO CUERPO DE BOMBEROS VOLUNTARIOS DEL MUNICIPIO DE HATO COROZAL.”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