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$20.416.667,00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PROFESIONALES A LA SECRETARÍA DE PLANEACIÓN, COMO INGENIERO CIVIL PARA LA ESTRUCTURACIÓN, SEGUIMIENTO Y CONTROL ADMINISTRATIVO DE LOS PROYECTOS DE INFRAESTRUCTURA EN EL MUNICIPIO DE HATO COROZAL, CASANARE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$20.416.667,00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$20.416.667,00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$20.416.667,00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2023-06-27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2023-00216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