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E511.2.3.2.02.02.006.1905035.2021851250002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COMERCIO Y DISTRIBUCIÓN; ALOJAMIENTO; SERVICIOS DE SUMINISTRO DE COMIDAS Y BEBIDAS; SERVICIOS DE TRANSPORTE; Y SERVICIOS DE DISTRIBUCIÓN DE ELECTRICIDAD, GAS Y AGUA</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COLJUEGOS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$26.000.000,00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Verificar el estado de vacunación (vacunado y no vacunado) de la población objetivo de la CVS, en el municipio de Hato Corozal, mediante un proceso de evaluación en terreno, en corto tiempo, reorientando las tácticas de vacunación para la captación de la población no vacunada.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9896 Habitantes población registrada en la base de datos del SISBEN METODOLOGÍA III certificada por el departamento nacional de planeación DNP para el municipio de Hato Corozal, fecha de corte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los principios fundamentales de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Asimismo, dentro de los fines esenciales del Estado, se encuentra el servicio a la comunidad, promoción de la prosperidad general y garantizar la efectividad de los principios, derechos y deberes Constitucionales; adicionalmente, en trabajo mancomunado con las demás entidades, instituciones y autoridades de la república, velan por mantener la protección a las personas, “en su vida, honra, bienes, creencias, y demás derechos y libertades, y para asegurar el cumplimiento de los deberes sociales del Estado y de los particulares.” (Constitución Política de 1991, artículo 2).
En relación a los derechos sociales, económicos y culturales, se estipula la atención en salud y el saneamiento ambiental son servicios públicos que se encuentran a cargo del Estado y, por ende, éste debe garantizar a todas las personas el acceso a los servicios de promoción, protección y recuperación de la salud. (Constitución Política de 1991, artículo 49).
Por lo tanto,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De conformidad a lo contemplado en la Ley 715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(Ley 715 de 2001). 
En relación a las competencias de los municipios en el sector salud, éstos deberán dirigir y coordinar el sector salud y el Sistema General de Seguridad Social en Salud en su jurisdicción. Así entonces dentro de las disposiciones se encuentran: “44.3. De Salud Pública 44.3.1. Adoptar, implementar y adaptar las políticas y planes en salud pública de conformidad con las disposiciones del orden nacional y departamental, así como formular, ejecutar y evaluar el Plan de Atención Básica municipal.” (Ley 715 de 2001, artículo 44).
Para el caso de la Ley 1438 de 2011 se reforma el Sistema General de Seguridad Social en Salud, tiene como objetivo principal e fortalecimiento del Sistema General de Seguridad Social en Salud, mediante el modelo de prestación del servicio público en salud dentro del marco de la estrategia de atención primaria en salud, donde se le permite la acción coordinada del Estado. (Ley 1438 de 2011, artículo 1).
Asimismo, la Resolución 518 de 2015, se dictan disposiciones en relación con la Gestión de la Salud Pública y se establecen directrices para la ejecución, seguimiento y evaluación del Plan de Salud Pública de Intervenciones Colectivas-PIC. (Resolución 518 de 2015).
Para el caso de la planeación integral para la salud, se establecen disposiciones para el mencionado proceso el cual estará a cargo de las Entidades Territoriales del nivel departamental, distrital y municipal. (Resolución No. 1536 de 2015).
Ahora bien, el Ministerio de la Salud y la Protección Social expide la Resolución No. 3202 de 2016 mediante la cual se adopta el Manual Metodológico para la elaboración e implementación de las Rutas Integrales de Atención en Salud (RIAS). (Resolución No. 3202 de 2016).
Así entonces, bajo la Ley 1955 de 2019 se modifica el artículo 47 de la Ley 715 de 2001 y el Decreto 268 de 2020, los cuales reglamentan los criterios, procedimientos, variables de distribución, asignación y uso de los recursos de participación de salud y obligaciones a las entidades territoriales el cumplimiento de refuerzo de triple viral (3%). 
Ahora bien, el Ministerio de Salud y Protección Social elaboró los lineamientos para la gestión y administración del programa ampliado de inmunizaciones - PAI – 2023, cuyo objetivo es: “Establecer las acciones para la gestión y administración de los componentes del PAI en las entidades territoriales departamentales, distritales y municipales, EAPB, IPS públicas y privadas habilitadas para prestar el servicio de vacunación en el marco de su competencia, con el fin de alcanzar las metas y objetivos del programa en el año 2023.” (Ministerio de Salud y Protección Social, lineamientos para la gestión y administración del programa ampliado de inmunizaciones - PAI – 2023. Pág. 11).
Dentro de las metas establecidas se encuentra:
Alcanzar el 95% y más de coberturas en las poblaciones objeto del programa con cada uno de los biológicos que hacen parte del esquema nacional. • Mantener en todo el territorio nacional la erradicación de la poliomielitis, la eliminación del sarampión, la rubeola y el síndrome de rubeola congénita, así como, el tétanos neonatal, y controlar la incidencia de casos de fiebre amarilla, difteria, tuberculosis meníngea, hepatitis A y B, neumococo, Haemophilus influenzae tipo b, diarreas por rotavirus, tos ferina, parotiditis, influenza, VPH, varicela y COVID-19. • Cumplir con el ingreso del 100% de la información nominal en el Sistema de Información Nominal PAIWEB en las IPS públicas y privadas que presten o hayan prestado el servicio de vacunación, con criterios de oportunidad y calidad. • Garantizar el cumplimiento de la cadena de frio, mediante el seguimiento permanente y oportuno de los procedimientos que hacen parte de este componente. (Ministerio de Salud y Protección Social, lineamientos para la gestión y administración del programa ampliado de inmunizaciones - PAI – 2023. Pág. 12).
Las estrategias a desarrollar para velar por el cumplimiento de las metas y el objetivo específico del lineamiento son: 
Desarrollo de capacidades del Talento Humano a cargo del programa de vacunación, acorde a sus competencias y funciones, en los diferentes niveles de atención del orden departamental, distrital, municipal, EAPB e IPS. ✓ Fortalecimiento de los planes de capacitación del talento humano en salud de las IPS, para la apropiación del conocimiento relacionado con el esquema nacional de vacunación, como elemento clave para promover y asegurar la protección en la población objeto del PAI. ✓ Seguimiento por parte de las EAPB a su población afiliada, para recuperar coberturas de vacunación en la población objeto del programa, considerando la vacunación como un servicio esencial en salud. ✓ Implementación de las estrategias y tácticas de vacunación sin barreras acorde a las características del territorio y a la condición epidemiológica, que disminuya las oportunidades perdidas y garantice el acceso a la vacunación. ✓ Búsqueda de susceptibles mediante la revisión y análisis de registros en el Sistema de Información Nominal PAIWEB. ✓ Suficiencia y disponibilidad de los insumos, biológicos y red de frío en todo el territorio nacional, con oportunidad y calidad. ✓ Fortalecimiento de las alianzas estratégicas con los diferentes actores del desarrollo social, tales como ICBF, líderes sociales, programas de prosperidad social, líderes religiosos, entre otros, que permitan alcanzar los resultados en vacunación. ✓ Fortalecimiento de la gobernanza de las entidades territoriales frente a los diferentes actores del territorio, gobernadores, alcaldes, secretarias de educación, entre otros, en pro del posicionamiento del PAI ✓ Intensificación de estrategias de comunicación dirigidas a la familia y a la comunidad frente a la importancia y seguridad de la vacunación, para aumentar la confianza y promover el acceso de la población. ✓ Cumplimiento de los planes de mejora por cada entidad territorial establecidos conjuntamente con las EAPB, otros actores en salud, la Procuraduría de Infancia y Adolescencia y la Superintendencia Nacional de Salud. (Ministerio de Salud y Protección Social, lineamientos para la gestión y administración del programa ampliado de inmunizaciones - PAI – 2023. Pág. 12 y 13).
La Gobernación de Casanare bajo la Secretaría de Salud expide los Lineamientos Técnicos y Operativos para la Tercera Jornada de Vacunación “Vacunarse Salva Vidas” lo anterior, con base en las alertas previstas por parte de la Organización Panamericana de Salud “Alerta Epidemiológica Sarampión - 8 de febrero de 2023 y Alerta epidemiológica Influenza, virus respiratorio sincitial y SARS-CoV-2 - 6 de junio de 2023”. Asimismo, emite las actualizaciones a los diferentes eventos prevenibles por vacunas, tales como: “Actualización epidemiológica Poliomielitis en la Región de las Américas 23 de marzo de 2023, Actualización epidemiológica Poliomielitis en la Región de las Américas 7 de abril de 2023 y Actualización Epidemiológica Fiebre amarilla en la Región de las Américas 25 de abril de 2023” (Gobernación de Casanare, Lineamientos Técnicos y Operativos Tercera Jornada de Vacunación “Vacunarse Salva Vidas” Pág. 2 y 3).
El objetivo principal del lineamiento es: “Lograr coberturas útiles de vacunación con todos los biológicos del PAI y disminuir el acúmulo de población susceptible del Plan Nacional de Vacunación - PNV - contra la COVID 19 en la población objeto, mediante la implementación de estrategias y tácticas que generen protección frente a enfermedades prevenibles por vacunas en todo el territorio nacional y el fortalecimiento de los espacios de posicionamiento local que permitan ubicar el PAI en la agenda política.” Gobernación de Casanare, Lineamientos Técnicos y Operativos Tercera Jornada de Vacunación “Vacunarse Salva Vidas” Pág. 2 y 3).
Así entonces, dentro de las metas se encuentra que para la tercera jornada de vacunación se cumpla con el 95% de la cobertura anual. Para el caso del Municipio de Hato Corozal, se pretende como meta TV año julio/2023 32 y meta RF TV 18 meses julio/2023 17. 
Buscando el beneficio de la población infantil menor de 6 años, Población susceptible para Influenza, Niñas de 9 a 17 años, Mujeres gestantes, Mujeres en edad fértil de 10 a 49 años (MEF), Población susceptible para fiebre amarilla, Población susceptible para Covid-19. 
Teniendo en cuenta lo anterior, bajo acta de reunión en la IPS Centro de Salud el día 05 de julio de 2023, se indica en conjunto con la líder de PAI municipal los insumos a suministrar para la tercera jornada de vacunación. Dentro de los compromisos se encuentran: envío de plan de acción de vacunación, apoyo a transporte de biológicos, apoyo a jornadas de vacunación nacionales y compartir bases del canalizador en costas del Casanare. Asimismo, mediante oficio No. 400.052.30.154 del 05 de julio de 2023 se realiza la divulgación de la Tercera Jornada Nacional de Vacunación “Vacunarse salva vidas” dirigido a las Instituciones Educativas, Familias en Acción, CDI institucional-modalidad familiar y referentes de cultura y deportes. 
De igual forma, al velar por el cumplimiento de los preceptos legales y de las directrices del orden Nacional, a la par se podrá cumplir con lo preceptuado en el Plan de Desarrollo Alto y Sostenible 2020-2023 en la 1.2. LÍNEA ESTRATÉGICA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 Meta Resultado: Implementación del Plan Territorial de salud del municipio. Meta Producto: Aplicar el 100% la política de vigilancia en salud pública que le corresponde al Municipio. 
Para llevar a cabo las jornadas de vacunación y velar por el cumplimiento del objetivo, metas y estrategias del lineamiento para la gestión y administración del programa ampliado de inmunizaciones - PAI – 2023, expedido por parte del Ministerio de Salud y Protección Social, se requiere instalar, adecuar y disponer de (14) puestos visibles de vacunación que contenga, logística que incluya los siguientes elementos: carpas, mesas plásticas, globos para decoración, sillas plásticas, almuerzos y refrigerio para el personal que apoya la actividad, sonido, agua en bolsa para quienes la dirigen y para los asistentes, mecanismos de adherencia para los niños, como lo son: termo tipo caramañola de 500 ml y en aluminio y un plan de comunicación, información y movilización.
Por último, la Administración Municipal cuenta con la disponibilidad presupuestal para ejecutar las presentes actividades, de conformidad con lo estipulado en la normatividad vigente, en el rubro No. E511.2.3.2.02.02.006.1905035.2021851250002, cuya fuente de financiación es: SUPERÁVIT COLJUEGOS.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el fin de  detectar la población menor de 6 años no vacunada, se realizara mediante la visita casa a casa y la revisión de registros de vacunación, para aplicar las vacunas trazadoras del programa ampliado de inmunización y Ofrecer una nueva oportunidad de lograr vacunar a los niños con esquema incompleto para la edad con los biológicos trazadores identificados en la actividad de campo y actualizar los registros de Vacunación, Identificar las causas de no vacunación de los niños/as susceptibles. Evaluar y orientar la toma de decisión de forma inmediata mediante la generación de acciones focalizadas de vacunación para alcanzar el 95%.</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logro de la instalación, adecuación y disposición de Catorce (14) puestos visibles de vacunación que contenga, logística que incluya los siguientes elementos:
1.	Alquiler de Catorce (14) carpas, garantizar el montaje y desmontaje de carpas.
2.	Alquiler de Veintiocho (28) mesas tipo plástico para la mesa de protocolo, incluye decoración.
3.	Adquisición de Catorce (14) Paquete de 50 Globos (Colores surtidos).
4.	Alquiler de Ciento (112) sillas tipo plástico para los asistentes a expositores y asistentes.
5.	Suministro de Noventa (98) almuerzos, raciones preparadas, servidas, debidamente empacadas en platos desechables con tapa, cubiertos desechables y entregados en cada puesto de vacunación. (07) para jornada de vacunación.
6.	Suministro de refrigerios (producto líquido y solido) se deben entregar en cada puesto de vacunación.
7.	Garantizar el servicio de Un (01) sonido de amplificación, compuesto por una consola amplificación, dos cabinas de amplificación de 1,000 Watts, con dos micrófonos. Todo completamente instalado.
8.	Garantizar la entrega de Doscientas (200) bolsas de agua de 300 ml.
9.	Suministro de Ciento Veinte (120) mecanismos de adherencia para niños (Termo tipo caramañola) capacidad mínima de 500 Ml, material aluminio, para ser entregados en las jornadas de vacunación.
10.	Diseño de Seis (06) jingles publicitarios de 60 segundos mínimo de duración (uno por jornada) con voces y matices, música de fondo que se divulgue y promocione las jornadas de vacunación, los lemas establecidos por el ministerio de salud.
11.	Garantizar Siete (07) servicios de publicidad (Tipo Perifoneo) informativo para promocionar las jornadas de vacunación, según lineamientos PAI e importancia del esquema de vacunación.
12.	Garantizar Siete (07) servicios de transporte de biológicos y el vacunador desde el ente departamental al municipal, para garantizar cadenas de frió según las fechas estipuladas para la entrega.
Garantizar un plan de comunicación, información y movilización el cual debe contener lo siguiente:
13.	Diseño y publicación de Catorce (14) infografías en redes sociales y paginas institucionales.
14.	Elaboración y difusión de Cuatro (04) video clip, mínimo de 60 segundos, para circulación en redes sociales, donde se promocione la Vacunación.  
15.	Adquisición de Cuatro (04) bolsos en material resistente, con logos de vacunación, morral de 2 manos de 35 cm de largo por 32 cm de ancho.
16.	Adquisición de Cuatro (04) Kits de Vinilos 125 Gr, (6 colores).
17.	Adquisición de Veinte (20) Marcadores de colores diversos.
18.	Adquisición de Dos (02) rollos grandes de papel crack de 45.5 CM X 230 M.
19.	Las demás actividades inherentes al objeto contractual.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56101522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60141001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82120000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82121600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92101900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92101902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55111601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31211508</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55101504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56101519</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1:HATO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mayo se solicitaron y recibieron Tres (03) cotizaciones de: Jarlinthon Pompilio Benítez Neira, WyL S.A.S. Inversiones, y CONCAPROC S.A.S.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Veintiséis Millones de Pesos M/Cte. ($26.000.000), con recursos del presupuesto municipal de la vigencia fiscal 2023, provenientes de la fuente: 420 SGP LIBRE INVERSIÓN.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GARANTIZAR LA LOGISTICA PARA LA ADECUACIÓN DE CATORCE PUESTOS DE VACUNACION PARA LA GESTIÓN Y ADMINISTRACIÓN DEL PROGRAMA AMPLIADO DE INMUNIZACIONES-PAI 2023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Mediante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26.000.000,00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