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C.2.1.2.02.01.002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PRODUCTOS ALIMENTICIOS, BEBIDAS Y TABACO; TEXTILES, PRENDAS DE VESTIR Y PRODUCTOS DE CUERO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$26.083.515,00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Adquirir los elementos de papelería, oficina, archivo, cómputo y mobiliario para el logro del buen funcionamiento de las diferentes dependencias y oficinas de la Administración Municipal, velando así por el cumplimiento de los preceptos legales.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9894 La población según Terridata, aplicación de DNP, tiene una Población de 12.369 Habitantes (2023)</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consagrado en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Asimismo, dentro de lo consagrado en el régimen Municipal, es una obligación de los municipios como entidades territoriales, la prestación de los servicios públicos que sean determinados por la Ley, además de la promoción y la participación de sus habitantes, en torno al cumplimiento de sus funciones. (Constitución Política de 1991, artículo 311).
De igual forma, las funciones de los Alcaldes en relación con la Administración Municipal, insta a dirigir las acciones administrativas, velando por el cumplimiento de las funciones y la prestación de los servicios que se encuentren a su cargo; adicionalmente, velar por el cumplimiento de las funciones de los empleados oficiales, los cuales sean necesarios para lograr la eficaz prestación de los servicios. (Ley 1551 de 2012, artículo 29, literal D, numeral 1 y 7).
La Administración Municipal en el cumplimiento de sus funciones, debe verificar además que sus empleados oficiales acaten lo referente a la normatividad en relación con el manejo de la documentación que se genere en las diferentes dependencias. Por lo tanto, se trae a colación la aplicación de la Ley 594 de 2000 o Ley de Archivo, que tiene como objeto principal establecer normas y principios para regular la función archivística. (Ley 594 de 2000, artículo 1). Igualmente, es una responsabilidad y obligación de los servidores públicos mantener ordenado y archivados los documentos, con el objetivo de llevar un orden de la documentación generada. (Ley 594 de 2000, artículo 15).
La Ley 80 de 1993, establece en el artículo 3° de los fines de la Contratación Estatal. “Los servidores públicos tendrán en consideración que al celebrar contratos y con la ejecución de los mismos, las entidades buscan el cumplimiento de los fines estatales, la continua y eficiente prestación de los servicios públicos y la efectividad de los derechos e intereses de los administrados que colaboran con ellas en la consecución de dichos fines”.
Por consiguiente, con el fin de garantizar el buen funcionamiento de la entidad, necesita proveer el suministro oportuno de los elementos representados en papelería, tintas, tóner y otros útiles de oficina, lo que obliga a la Entidad a adoptar mecanismos internos con el fin de satisfacer este requerimiento y así cumplir con el óptimo desempeño de las actividades administrativas de todos los funcionarios, lo que obliga a la Entidad a adoptar mecanismos internos con el fin de satisfacer este requerimiento y así cumplir con el óptimo desempeño de las actividades administrativas de todos los funcionarios. Es evidente que esta necesidad sólo puede satisfacerse mediante un proceso de selección objetiva con una persona natural y/o persona jurídica, un consorcio y/o unión temporal, que cumpla con los requerimientos técnicos, posea la idoneidad y la capacidad para el suministro de los elementos y artículos a adquirir por la administración. 
Como es una obligación manejar la documentación requerida para las dependencias, es de resaltar los deberes de los servidores públicos, como lo son “Custodiar y cuidar la documentación e información que por razón de su empleo, cargo o función conserve bajo su cuidado o a la cual tenga acceso, e impedir o evitar la sustracción, destrucción, ocultamiento o utilización indebidos.” (Ley 1952 de 2019, artículo 38, numeral 6).
Por lo anterior, se considera necesario adquirir elementos de oficina y equipos de cómputo, con el objetivo de prestar un servicio óptimo de las diferentes dependencias de la Administración. A sabiendas que la Alcaldía cuenta con Cuatro (04) Secretarías: Secretaría General y de Gobierno, Secretaría de Planeación y Política Sectorial, Secretaría de Desarrollo Social Integral y Productivo, Secretaría de Hacienda; además cuenta con una oficina Asesora Jurídica, las cuales desarrollan acciones y/o actividades que busquen satisfacer las necesidades de la comunidad en el marco del cumplimiento de las metas del Plan de Desarrollo.
La Secretaría General y de Gobierno en miras de fortalecer el desempeño de las diferentes dependencias, insta mediante Circular a que se presenten un listado de necesidades en papelería y equipos de cómputo que sean necesarios para el desempeño eficiente de sus funciones. Dentro de las cuales se encuentra elementos de archivo (carpetas y Cajas para archivo), papelería, útiles de escritorio, insumos para equipos, materiales y suministros de oficina (resma de papel, tóner de impresoras) y demás documentos que permitan que los funcionarios puedan desempeñar sus funciones, teniendo en cuenta que estos elementos permiten dar cumplimientos a las obligaciones legales y realizar los trámites de los diferentes procesos de la administración municipal y de esta forma queda debidamente registrada la actuación administrativa; por lo tanto, es pertinente que el ente administrativo disponga en forma permanente de los elementos de archivo y elementos de papelería que hagan efectiva el cumplimiento de esta obligación y que la Administración logre cumplir con lo referenciado en la función administrativa.
Por último, es oportuno teniendo en cuenta que se cuenta con la disponibilidad en el Rubro No. C.2.1.2.02.01.002 de nombre: PRODUCTOS ALIMENTICIOS, BEBIDAS Y TABACO; TEXTILES, PRENDAS DE VESTIR Y PRODUCTOS DE CUERO.
Con base en la necesidad legal presentada anteriormente, se requiere por parte de la Administración Municipal adquirir elementos de papelería, archivo, oficina, cómputo y mobiliario para garantizar el buen funcionamiento de las diferentes dependencias que integran la Alcaldía municipal y de esta forma, garantizar el cumplimiento de los objetivos misionales e institucionales, además de los planes y programas que se desprenden del plan de desarrollo vigente.  Con dicha compra a fin de dar solución a los requerimientos diarios en cuanto a impresiones y elementos de oficina y de esta manera evitar traumatismos en el desarrollo administrativo de las dependencias.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El Municipio de Hato Corozal, realizo la revisión del mercado del servicio a contratar. Para ello se procedió a analizar los diferentes aspectos que pueden influir en el presente Proceso de Contratación, teniendo en cuenta el objeto del Proceso de selección, desde la perspectiva legal, comercial, financiera, organizacional, técnica y de análisis de Riesgo. Una vez realizado el análisis del sector nos permitió establecer el contexto del Proceso de Contratación e identificar algunos de los Riesgos y determinar los requisitos habilitantes. Análisis que se realizo de acuerdo a lo establecido en la guía dado por Colombia Compra Eficiente; teniendo en cuenta las tres areas a cobijar: A. Aspectos Generales B. Estudio de la demanda C. Estudio de la oferta Anexamos al presente estudio previo el Análisis del Sector realizado. 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General y de Gobierno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Adquisición de elementos de oficina, papelería, insumos de impresión y equipos con las características y cantidades que se describen en las especificaciones técnicas, para dar cubrimiento a las necesidades esenciales de todas las dependencias de la administración municipal.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entrega de los bienes y elementos en las cantidades, características y especificaciones técnicas requeridos, los cuales deberán ser de primera calidad, estar bien empacados, contar con las especificaciones conforme se relacionan y detallan en el siguiente cuadro:
ITEM	DESCRIPCIÓN	UND	CANT.
1	GANCHO LOTERO DOBLE CLIP 15/8''	   CAJA	2
2	GANCHO LOTERO DOBLE CLIP 3/4''	   CAJA	2
3	BISTURI ELABORADO EN PLASTICO GRANDE, CON BLOQUEO DE LA CUCHILLA Y CON CORTA CUCHILLA. 	 UNIDAD	2
4	BOLIGRAFO DESECHABLE DE TINTA COLOR NEGRO CON CUERPO DE CRISTAL POR CAJA X 12 UNIDADES.        CAJA	1
5	CAJA DE ARCHIVO REFRENCIA X200 EN CARTON CORRUGADO DE 400 GRAMOS	                                                   UND	400
6	CARPETA CUATRO ALETAS DESAFICADA EN PROPALCOTE PESO 320 GRS COLOR AMARILLA	                           UND	400
7	BANDERITAS POST-IT 5 COLORES, ETIQUETAS SEPARADORAS	                                                                                   UND	9
8	NOTAS AUTOADHESIVAS POST-IT 76MM X 76MM	                                                                                                           UND	5
9	CAJAS DE CLIPS ESTANDAR METALICO X 100 UNIDADES                                                                                                 UND	4
10	RESALTADORES DE COLORES SURTIDOS CAJA POR 10 UNIDADES	                                                                           CAJA	1
11	PEGANTE LIQUIDO NO TOXICO, LAVABLE TAMAÑO 245 GRS                                                                                            UND	2
12	GANCHO MARIPOSA	                                                                                                                                                            CAJA	1
13	LAPICES HB POR CAJA X 12 UNIDADES .(*)	                                                                                                                    CAJA	1
14	RESMA DE PAPEL BOND CARTA 75 GR	                                                                                                                            CAJA X 10	45
15	TABLA DE APOYO TAMAÑO OFICIO IDEAL PARA SOSTENER REPORTES Y TOMAR NOTAS.                                         UNIDAD	1
16	TIJERAS DE USO GENERAL EN ACERO INOXIDABLE PARA OFICINA 14 CM	                                                                    UNIDAD	1
17	TINTA PARA ALMOHADILLA DACTILAR NEGRA	                                                                                                                    UNIDAD	2
18	TONER PARA IMPRESORA HP LASR JET P2035 COLOR NEGRO                                                                                        UNIDAD	4
19	TINTA COLOR AMARILLO PARA IMPRESORA EPSON POR LITRO	                                                                                     UNIDAD	2
20	TINTA COLOR AZUL PARA IMPRESORA EPSON POR LITRO	                                                                                             UNIDAD	2
21	TINTA COLOR MAGENTA PARA IMPRESORA EPSON POR LITRO	                                                                                     UNIDAD	2
22	TINTA COLOR NEGRO PARA IMPRESORA EPSON POR LITRO	                                                                                     UNIDAD	3
Obligaciones del Municipio
1.	Brindar información y guiar al contratista en el desarrollo y ejecución del contrato.
2.	Realizar seguimiento a la ejecución de las actividades y solicitar informes de ser necesario
3.	Realizar el desembolso a la entidad contratista teniendo en cuenta la forma de pago.
4.	Supervisar las actividades descritas en el presente estudio previo y verificar su cumplimiento
5.	Suscribir las actas correspondientes como acta de inicio, acta de terminación y acta de liquidación final que resulten de la etapa contractual.
Obligaciones específicas del Contratista
1. Asumir los costos de transporte en que incurra para la entrega de los elementos a adquirir.
2.	Entregar elementos de buena calidad y duración, completamente originales y genuinos, con una fecha de caducidad superior a un (1) año, a partir de la entrega, en los casos en que aplique. 
3.	El contratista se compromete a ofrecer y entregar productos que den certeza del cumplimiento estricto de las características técnicas solicitadas en cada artículo, no se aceptan imitaciones o artículos que no cumplan con los requerimientos. 
4.	El contratista retirará los elementos y/o materiales objeto del contrato que no cumplan con las especificaciones técnicas requeridas por el municipio y las que contengan vicios ocultos, y deberán ser cambiados por otros que cumplan estrictamente con las características solicitadas. 
5.	El contratista se compromete a hacer el cambio de productos dentro de los tres (3) días hábiles siguientes a la devolución y/o al reclamo, atender dentro de éste tiempo: las devoluciones por deterioro, mala calidad, defecto de fabricación, o especificaciones diferentes, reponiendo el (los) elemento (s). 
6.	Garantizar el suministro de los elementos requeridos en el tiempo establecido por la Entidad. 
7.	Como mínimo el oferente deberá brindar la garantía que legal y comercialmente está destinada para cada elemento respecto a efectos de fabricación o cualquier otro aspecto atribuido de calidad de producto.
8.	Aceptar los procedimientos administrativos que determine la alcaldía municipal para la ejecución del contrato y las contenidas en la propuesta conforme a las especificaciones técnicas.
9.	Informar oportunamente a la alcaldía municipal sobre cualquier irregularidad que se presente en la ejecución del contrato.
10.	Radicar oportunamente las facturas para el cobro.
11.	Atender las recomendaciones del supervisor, relacionadas con el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12170000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12171700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12171703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44121612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31201600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31201603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14111530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44122100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44122118</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44103100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44103103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60105700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60105704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44122000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44122003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44111515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44121716</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44122100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44122104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14111507</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deberá presentar en su propuesta una ficha técnica de los elementos a suministrar, y de forma adicional deberá agregar una foto de cada elemento a color y su marca. De esta forma, se garantizará el cumplimiento de las obligaciones contractuales.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COLOMBIA. - LEY 80 DE 1993. - LEY 1474 DE 2011. - LEY 1150 DE 2007. - LEY 1712 DE 2014. - DECRETO 1082 DE 2015.</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contractual que se plantea en el presente estudio previo, fue verificado por la Secretaría General y de Gobierno, teniendo en cuenta los siguientes aspectos: 
1)	Se recibieron tres (3) cotizaciones de presentación de oferta de elementos de Papelería, de las papelerías de; Clímaco Cristiano Segundo con NIT: 7361865-8, Ana Leonor Rojas Márquez con Nit: 1115854612-0 y Luis Enrique Castiblanco con Nit: 79332764-0.
2)	Se emitió solicitud de cotizaciones, a las empresas Clímaco Cristiano Segundo con NIT: 7361865-8, Ana Leonor Rojas Márquez con Nit: 1115854612-0 y Luis Enrique Castiblanco con Nit: 79332764-
CONCLUSIÓN:
Las cotizaciones a que hace referencia el párrafo primero (1) del numeral 5.5 del presente estudio previo,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veintiséis millones ochenta y tres mil quinientos quince pesos $26.083.515,00 MC/TE, con recursos del presupuesto municipal vigencia fiscal 2023, provenientes de Gastos de funcionamiento, el contrato incluye todos los costos e impuestos en los que incurra el contratista para la ejecución del contrato, (garantías, costos directos, indirectos, utilidad, imprevistos, administración.</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Al presente proceso de selección le son aplicables las normas contenidas en la Constitución Política, en el Estatuto General de Contratación, Ley 1150 de 2007, Ley 1474 de 2011, Decreto 1082 de 2015 y demás normas concordantes y pertinentes, los presentes pliegos de condiciones, adendas, resoluciones y demás documentos que se expidan con ocasión del mismo. Lo que no esté particularmente regulado en este documento se regirá por las normas antes señaladas y por las disposiciones civiles y comerciales pertinentes.
Por tratarse de bienes y servicios con características técnicas uniformes y de común utilización, el mecanismo de selección para la adquisición de este tipo de bienes es el de selección abreviada por subasta inversa, de conformidad con lo dispuesto por el artículo 2 numeral 2º literal a) de la Ley 1150 del 2007 y el artículo 2.2.1.2.1.2.2 del Decreto 1082 de 2015 y demás normas concordantes y aplicables a esta modalidad de contratación.
Ahora bien, conforme lo dispone el artículo 2.2.1.2.1.2.5 del Decreto 1082 de 2015, el procedimiento a adelantar será el de subasta inversa de carácter presencial, como quiera que el Municipio, no cuenta en la actualidad con la plataforma tecnológica adecuada que permita adelantar la subasta inversa electrónica.
El contrato resultante de este proceso de selección estará sometido a la ley colombiana y en especial se regirá por las disposiciones que regulan la contratación pública, además de las normas pertinentes de los Códigos Civil y de Comercio.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Departamento de Casanare  relacionó  los riesgos  previsibles  involucrados  en la presente contratación, con el propósito de incluirlos  dentro de la ecuación contractual, asignando  directrices  para su tratamiento, al tenor  de lo previsto por el artículo 27 de la Ley 80  de 1993, según  el cual &amp;amp;quot;En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invitacion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ADQUISICIÓN DE ELEMENTOS DE PAPELERÍA Y ELEMENTOS DE LEY DE ARCHIVO PARA LAS DIFERENTES DEPENDENCIAS DE LA ALCALDÍA MUNICIPAL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pagará el valor total del presente contrato de la siguiente manera: El cien por ciento (100%) del valor del contrato en un único pago, previa suscripción de acta de terminación y liquidación, entrega total y efectiva de los bienes en el lugar dispuesto por la administración municipal, previa certificación de cumplimiento y recibo a satisfacción por parte del supervisor del contrato, en la cual, se reconozca la entrega de los bienes y se autorice el respectivo pago, y previa verificación y entrada a almacén del municipio; para este pago el contratista deberá acreditar que se encuentra al día con el pago de aportes al sistema de seguridad social integral y parafiscales.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26.083.515,00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