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E211.2.3.2.02.02.009.4103052.2021851250007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$60.000.000,00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E22.2.3.2.02.02.009.4103052.2021851250007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$40.000.000,00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CAPACITACIONES, APOYOS Y GESTIONES PARA IMPULSAR PROYECTOS ARTESANALES, OFICIOS Y PRODUCTIVOS RELACIONADOS CON LA COMUNIDAD INDÍGENA DE LOS DOS RESGUARDOS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Desarrollo de acciones que busquen mitigar problemáticas de seguridad alimentaria y la generación de ingresos de las comunidades indígenas del resguardo de Caño Mochuelo, jurisdicción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2032 Habitantes del resguardo de Caño Mochuelo, jurisdicción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3</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lo concerniente a los fines esenciales del Estado, todas las Entidades e Instituciones del mismo, deben garantizar el cumplimiento de los derechos y deberes de las personas, así como facilitar la participación de estas en las decisiones que los afecten.  De igual forma, velar por la protección de “…” su vida, honra, bienes, creencias, y demás derechos y libertades, y para asegurar el cumplimiento de los deberes sociales del Estado y de los particulares.” (Constitución Política de 1991, artículo 2).
Asimismo, dentro de los principios fundamentales, se encuentra el reconocimiento y protección de la diversidad étnica y cultural. (Constitución Política de 1991, artículo 7).
En relación a los derechos fundamentales,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(Constitución Política de 1991, artículo 13).
Para el caso de los Municipios, éstos dentro de sus funciones contempla que en la elaboración de los planes de desarrollo se tendrá en cuenta los planes de vida de los territorio y resguardos indígenas. De esta forma, lograr mantener factores de inclusión; además de estrategias y políticas dirigidas al respeto y garantía de los derechos humanos y Derecho Internacional Humanitario. (Ley 1551 de 2012, artículo 6, numeral 2).
Así entonces, el Estado Colombiano aprueba el Convenio No. 169 sobre los pueblos indígenas y tribales en Países independientes, adoptado por la 76a reunión de la Conferencia General de la O.I.T. Ginebra 1989; bajo la Ley 21 de 1991. 
Se contempló que los Gobiernos parte, deberán asumir acciones basadas en participación de los pueblos, donde se deberá desarrollar una acción coordinada, con el objetivo de proteger sus derechos y garantizar el respeto de su integridad. De esta forma, se garantizarán acciones igualitarias en derechos y oportunidades; promoción plena y efectiva de los derechos sociales, económicos y culturales, con el respeto de su identidad social y cultural, costumbres y tradiciones (Ley 21 de 1991, artículo 2).
Es de resaltar que el Convenio insta:
1. Los pueblos indígenas y tribales deberán gozar plenamente de los derechos humanos y libertades fundamentales, sin obstáculos ni discriminación.
Las disposiciones de este Convenio se aplicarán sin discriminación a los hombres y mujeres de esos pueblos.
2. No deberá emplearse ninguna forma de fuerza o de coerción que viole los derechos humanos y las libertades fundamentales de los pueblos interesados, incluidos los derechos contenidos en el presente Convenio. (Ley 21 de 1991, artículo 3).
De esta forma, también se deberá mejorar sus condiciones de vida, trabajo, educación, salud de las comunidades; además de la participación en la elaboración de los planes de desarrollo. Por lo tanto, se deberán elaborar proyectos especiales para el desarrollo de las regiones que comprenden los resguardos indígenas, promoviendo el mejoramiento. (Ley 21 de 1991, artículo 7).  
El Municipio de Hato Corozal cuenta dentro de su jurisdicción con Dos (02) Resguardos Indígenas: Chaparral y Barro Negro, el cual se encuentra conformado por la comunidad Ewá y el Resguardo Indígena de Caño Mochuelo que cuenta con las comunidades de: Morichito, Getsemani, Mochuelo y Mardue de pueblos Sikuani, Wamonae y Sáliba.
La Administración Municipal “Hato Corozal Alto y Sostenible 2020-2023” dentro de su Plan de Desarrollo Municipal incluyó en su Línea Estratégica No. 1 “Hato Corozal Semillero de Proyectos para el Desarrollo y la Inclusión Social” Programa: apoyo y fortalecimiento comunidades indígenas; Meta Resultado: Comunidad indígena con mejores condiciones de supervivencia; Meta Producto 1: Realizar una intervención en tema educación, salud, seguridad alimentaria, recreativo y cultural en los dos resguardos indígenas. En miras de cumplir con la normatividad legal vigente y con la responsabilidad social.
Adicionalmente, es prudente mencionar que la Unidad Administrativa Especial de Gestión de Restitución de Tierras Despojadas-Territorial Meta, quien fungió en nombre y representación del Resguardo indígena de Caño Mochuelo, medidas cautelares ante el Juzgado Civil del Circuito Especializado en Restitución de Tierras del Distrito Judicial de Cundinamarca. Su objetivo principal era la protección colectiva del territorio, en ámbitos como: autodeterminación y gobierno propio; uso, ocupación y disfrute del territorio y de los recursos naturales; salud, seguridad alimentaria y niños, niñas y adolescentes. Los fundamentos de la solicitud se basaron en la secuencia de actos violatorios a los derechos constitucionales y Derecho Internacional Humanitario. Razón por la cual, resuelve admitir las medidas cautelares elevada por parte de la Dirección Territorial y ordenar a varias Entidades e Instituciones a realizar acciones, de forma mancomunada, para restablecer los derechos violentados. De esta forma, se ordena al Ministerio de Agricultura y Desarrollo Rural; Gobernación de Casanare; Alcaldías de Paz de Ariporo y Hato Corozal; Instituto Colombiano de Bienestar Familiar-ICBF; Departamento para la Prosperidad Social-DPS; Unidad Administrativa Especial para la Atención y Reparación Integral a las Víctimas-UARIV y a la Agencia de Desarrollo Rural-ADR. Su fin principal es realizar mesas de concertación con las comunidades del Resguardo Indígena de Caño Mochuelo, para así adelantar acciones, planes, programas y proyectos donde se beneficien las comunidades y se puedan restablecer los derechos vulnerados.
De esta forma, se realizó socialización con las comunidades del Resguardo Indígena de Caño Mochuelo, jurisdicción del Municipio de Hato Corozal, con el fin de conocer las necesidades de problemas a causa de falta de acceso a alimentos nutritivos y seguros para cubrir necesidades nutricionales. y financiera, en miras de mitigar las problemáticas que se vienen presentando. Así entonces, las comunidades solicitan unidades productivas avícolas y de tejidos, cada una aportando al fortalecimiento de la seguridad alimentaria y la economía de las familias. Para el caso de la unidad productiva avícola, se logrará adquirir para cada comunidad: Cien (100) aves de corral-gallinas ponedoras de 16 a 17 semanas, Cuarenta (40) bultos de concentrado, Dieciocho (18) tejas de zinc y Cuatro (04) rollos de malla. Para el caso de las unidades productivas de tejidos: se contará con un instructor con experiencia en elaboración de tejidos de chinchorros en telar, se entregarán Cuarenta (40) telares, Ciento Sesenta (160) hilos de nailon # 6, Cuarenta (40) hilos de nailon #15 y el suministro de refrigerios para los asistentes, durante los días del taller. Todo lo anterior, con base en el Plan de Vida del Resguardo Indígena, cumpliendo con sus estipulaciones.
Así entonces, la Administración Municipal logrará continuar implementando acciones para mitigar las problemáticas y cubrir necesidades nutricionales y fortalecer actividades de ingresos económicos, dos acciones que van encaminadas a un mismo fin, el bienestar de las familias de las comunidades indígenas del Resguardo. Asimismo, el cumplimiento de las disposiciones previstas en el Auto No. de Sustanciación No. 994 de 22-09-2022.
Por último, para su logro la Administración Municipal cuenta con la disponibilidad presupuestal en el Rubro No. E211.2.3.2.02.02.009.4103052.2021851250007, SERVICIOS PARA LA COMUNIDAD, SOCIALES Y PERSONALES y E22.2.3.2.02.02.009.4103052.2021851250007, SERVICIOS PARA LA COMUNIDAD, SOCIALES Y PERSONALES cuya fuente de financiación 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Implementación de estrategias para la protección colectiva del territorio resguardo Indígena de Caño Mochuelo, en los ámbitos uso, ocupación y disfrute del territorio y de los recursos naturales y seguridad alimentaria.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la ejecución del presente proceso contractual, se requiere el cumplimiento de las siguientes actividades:
SEGURIDAD ALIMENTARIA-UNIDAD PRODUCTIVA AGRÍCOLA
1.	Adquisición de Cuatrocientas (400) aves de Corral (Gallinas ponedoras de 16 a 17 semanas babcock brown, Rhode Island Isa Brown), con registro vacunal.
2.	Adquisición de Ciento Sesenta (160) bultos de alimento completo para ser suministrado a gallinas ponedoras, debe presentar un balance adecuado del 17% proteína, humedad max. 13% grasa min. 4%, fibra max. 6%, cenizas max. 15%, calcio min. 3,6%, fósforo min. 0,45%. x 40kg.
3.	Realizar la entrega de Dieciocho (18) Tejas de  Zinc Ondulada, dimensiones minimas de 3 metros x 0.80mt Cal 30.
4.	Realizar la entrega de Cuatro (04) Mallas Gallinero, dimensiones 1.80*36mt (rollo), calibre 25.
UNIDAD PRODUCTIVA TEJIDOS
5.	Servicio de Instructor, persona natural con conocimientos en la elaboración y tejido de chinchorros en telar.
6.	Suministro de Cuarenta (40) estructuras telar para elaborar chinchorros, laterales en madera (Verticales: 2,80 Cm de alto, y Horizontales (1.80 cm). Con Soportes de tubo de 1/2 galvanizado (2 metros). (Incluye 4 varillas de 2 a 3 Cm de alto por 2, 20 Cm). Suministro de Quinientas Setenta (570) raciones alimentarias compuesta por: Proteína (carne-pollo-cerdo-huevos) 200gr; Cereal (arroz-lentejas-garbanzo-frijol-etc.) 110 gr; Verduras (ensaladas variadas) 100 gr; Tubérculo (papa-yuca-plátano); Bebida (jugo tetra-pack) 330 ml; Empaque icopor; Juego cubiertos plásticos; Servilletas.
7.	Suministro de Ochenta (80) Hilos Naylon # 6 para Chinchorro (Diversos colores) Cono por 500 Gr.
8.	Suministrar Cuarenta (40) Hilos Naylon # 15 para Cabuyera de Chinchorro (Diversos colores) Cono por 300 Gr.
9.	Suministro de Refrigerios Industrializados (Bebida tipo jugo en caja o botella, presentacion minima de 200 ml, y solido tipo pastel o mantecada, postre etc) con registro sanitario vigentes.
LOGÍSTICA PARA ENTREGA DE INSUMOS
10.	Prestar el servicio de transporte terrestre para garantizar el desplazamiento del personal de la Alcaldía Municipal (Dos (02) vehículo tipo camioneta pick up 4X4 por el plazo de Cuatro (04) días, a todo costo; para el recorrido desde el Municipio de Hato Corozal hasta el Resguardo Indígena de Caño Mochuelo, jurisdicción del Municipio de Hato Corozal. Los vehículos deberán contar con su conductor, seguros, pólizas y toda la documentación al día).
11.	Prestar el servicio de transporte de carga terrestre para garantizar la entrega de elementos (gallinas, purina, zinc, nailos y telares para chinchorro) en vehículo tipo camión. Este vehículo deberá contar con su conductor, seguros, pólizas y toda la documentación al día).
12.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13110000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13111000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13111010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20102301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78101800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78101801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30266500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30266502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10101600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10101601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30262800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10121604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60122000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60122005</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50192801</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No. 1 “Hato Corozal Semillero de Proyectos para el Desarrollo y la Inclusión Social” 
Programa: apoyo y fortalecimiento comunidades indígenas
Meta Resultado: Comunidad indígena con mejores condiciones de supervivencia
Meta Producto 1: Realizar una intervención en tema educación, salud, seguridad alimentaria, recreativo y cultural en los dos resguardos indígenas. En miras de cumplir con la normatividad legal vigente y con la responsabilidad social.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 Asegurar la adopción de planes, políticas y proyectos para el adulto mayor; f. Elaborar políticas, planes, proyectos y programas para el adulto mayor teniendo en cuenta las necesidades básicas insatisfechas de los más vulnerables; “…” (Ley 1251 de 2008, artículo 6).
Política Nacional de Envejecimiento y Vejez, se busca el cumplimiento de los fines esenciales del Estado, mejorando la calidad de vida de los adultos mayores, con la construcción y desarrollo de acciones e instrumentos en todos los ámbitos de la vida de las personas de la tercera edad, bajo el reconocimiento del trabajo intergeneracional. (Ley 1251 de 2008, artículo 7).
El Estado a través de sus entidades del orden Nacional, Departamental, Distrital y Municipal de conformidad con el ámbito de sus competencias, las instituciones públicas y privadas, la sociedad y la familia deberán generar acciones tendientes a involucrar al adulto mayor en el desarrollo económico y productivo de nuestro país, para esto deberán:
a. Facilitar y promover la obtención de ingresos mediante el empleo, el desarrollo de proyectos productivos, y la formación de empresas sociales para el adulto mayor;
b. Desarrollar mecanismos para el acceso al crédito con propósitos productivos para el adulto mayor;
c. Promover el acceso del adulto mayor al empleo formal;
d. Capacitar, promover y facilitar el acceso a las nuevas tecnologías y al teletrabajo como mecanismo para la generación de ingresos y de empleo. (Ley 1251 de 2008, artículo 17, numeral 4).</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de contratación que se plantea en el estudio previo fue elaborado y estructurado utilizando el modelo financiero de cotizaciones, teniendo en cuenta los aspectos que se señalan a continuación:
Fuentes financieras y aspectos referenciales tenidos en cuenta para la estructuración del presupuesto total de la necesidad:
1) Se establecieron las características técnicas para atender la necesidad planteada.
2) Se realizaron cotizaciones con empresas proveedoras de bienes relacionados en a fin de establecer el menor valor del mismo. Se anexa estudio de mercado
3) De manera oportuna se recibieron las cotizaciones solicitadas atendiendo las especificaciones y generalidades consagradas en la invitación correspondiente.
La Administración municipal determinó que las empresas que atendieron el llamado a cotizar, pueden ser las cotizantes de las actividades que son imprescindibles al cumplimiento del objeto contractual que aquí se plantea, en razón a las siguientes consideraciones:
• Todas ellas son empresas jurídicas y/o naturales que tienen sede en el Territorio Nacional, brindándole una mayor pluralidad al estudio de mercado.
• Dentro del certificado de existencia de las empresas cotizantes, se encuentran actividades relacionadas con los alcances del objeto del proceso contractual que el municipio pretende adelantar.
• Las entidades seleccionadas para la emisión de las cotizaciones que requiere el municipio, durante el estudio del sector se pudo constatar que poseen la idoneidad, capacidad instalada, el conocimiento actualizado de las dinámicas del mercado local y regional y la capacidad técnica para emitir cotización en relación con el proceso contractual que aquí se plantea.
Las cotizaciones solicitadas servirán de base para la elaboración de un estudio de mercado con el cual se pueda determinar los costos unitarios de un producto, teniendo en cuenta la dinámica actual de la oferta y la demanda, por tanto, no constituye en sí misma una oferta y consecuentemente NO obliga a las partes.
En atención a lo establecido en el Decreto compilatorio 1082 de 2015, las cotizaciones realizadas, fueron el soporte económico para establecer el presupuesto oficial de la contratación que aquí se plantea, teniéndose en cuenta las cotizaciones de menor costo de acuerdo a los componentes financieros del presupuesto oficial.
El presupuesto para el presente proceso contractual es de Cien Millones de Pesos M/Cte. ($100.000.000)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Régimen jurídico aplicable a la modalidad de contratación en la Ley 80 de 1993 y la Ley 1150 de 2007 y sus decretos reglamentarios, y las leyes civiles, comerciales y demás normas que adicionen, complementen o regulen las condiciones del objeto a contratar. 
Conforme al artículo 2 de la Ley 1150 de 2007, adicionado por el artículo 94 de la Ley 1474 de 2011, menciona que la escogencia del contratista se efectuará con arreglo a las modalidades de Licitación Pública, Selección Abreviada, Concurso de Méritos, Contratación Directa y Mínima Cuantía. El Numeral 2º del mencionado artículo señala que la selección abreviada corresponde a la modalidad de selección objetiva prevista para aquellos casos en que por las características del objeto a contratar, las circunstancias de la contratación o la cuantía o destinación del bien, obra o servicio, pueden adelantarse procesos simplificados para garantizar la eficiencia de la gestión contractual. 
Por tratarse de un contrato para la adquisición de bienes y/o servicios de características técnicas uniformes y de común utilización por parte de las entidades públicas y buscando conseguir los mejores precios del mercado, el municipio de Hato Corozal,  escogerá al contratista a través de la modalidad de Selección Abreviada para la adquisición de Bienes y Servicios de Características Técnicas Uniformes por Subasta Inversa, prevista en el Inciso 2 del Literal a) del Numeral 2 del Artículo 2 de la Ley 1150 de 2007 y los Artículos 2.2.1.2.1.2.1., 2.2.1.2.1.2.2., 2.2.1.2.1.2.3. y 2.2.1.2.1.2.4. del Decreto 1082 del 2015.
El presente proceso tendrá como modalidad de convocatoria, la Selección Abreviada para la adquisición de Bienes y Servicios de Características Técnicas Uniformes por Subasta Inversa. Al presente proceso de selección le son aplicables las normas contenidas en la Constitución Política, en el Estatuto General de Contratación, Ley 1150 de 2007, Ley 1474 de 2011, Decreto 1082 de 2015 y demás normas concordantes y pertinentes, los presentes pliegos de condiciones, adendas, resoluciones y demás documentos que se expidan con ocasión del mismo. Lo que no esté particularmente regulado en este documento se regirá por las normas antes señaladas y por las disposiciones civiles y comerciales pertinentes.
Por tratarse de bienes y servicios con características técnicas uniformes y de común utilización, el mecanismo de selección para la adquisición de este tipo de bienes es el de selección abreviada por subasta inversa, de conformidad con lo dispuesto por el artículo 2 numeral 2º literal a) de la Ley 1150 del 2007 y el artículo 2.2.1.2.1.2.2 del Decreto 1082 de 2015 y demás normas concordantes y aplicables a esta modalidad de contratación.
Ahora bien, conforme lo dispone el artículo 2.2.1.2.1.2.5 del Decreto 1082 de 2015, el procedimiento a adelantar será el de subasta inversa de carácter presencial, como quiera que el Municipio, no cuenta en la actualidad con la plataforma tecnológica adecuada que permita adelantar la subasta inversa electrónica.
El contrato resultante de este proceso de selección estará sometido a la ley colombiana y en especial se regirá por las disposiciones que regulan la contratación pública, además de las normas pertinentes de los Códigos Civil y de Comercio.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De conformidad a lo establecido en el Decreto 1082 de 2015,
1. Los pliegos de condiciones deben indicar: a) la fecha y hora de inicio de la subasta; b) la periodicidad de los Lances; y c) el Margen Mínimo para mejorar la oferta durante la subasta inversa.
2. La oferta debe contener dos parles, la primera en la cual el interesado acredite su capacidad de participar en el Proceso de Contratación y acredite el cumplimiento de la ficha técnica; y la segunda parle debe contener el precio inicial propuesto por el oferente.
3. La Entidad Estatal debe publicar un informe de habilitación de los oferentes, en el cual debe indicar si los bienes o servicios ofrecidos por el interesado cumplen con la ficha técnica y si el oferente se encuentra habilitado.
4. Hay subasta inversa siempre que haya como mínimo dos oferentes habilitados cuyos bienes o servicios cumplen con la ficha técnica.
5. Si en el Proceso de Contratación se presenta un único oferente cuyos bienes o servicios cumplen con la ficha técnica y está habilitado, la Entidad Estatal puede adjudicarle el contrato al único oferente si el valor de la oferta es igual o inferior a la disponibilidad presupuestal para el contrato, caso en el cual no hay lugar a la subasta inversa.
6. La subasta debe iniciar con el precio más bajo indicado por los oferentes y en consecuencia, solamente serán válidos los Lances efectuados durante la subasta inversa en los cuales la oferta sea mejorada en por lo menos el Margen Mínimo establecido.
7. Si los oferentes no presentan Lances durante la subasta, la Entidad Estatal debe adjudicar el contrato al oferente que haya presentado el precio inicial más bajo.
8. Al terminar la presentación de cada Lance, la Entidad Estatal debe informar el valor del Lance más bajo.
9. Si al terminar la subasta inversa hay empate, la Entidad Estatal debe aplicar los criterios del artículo 35 de la Ley 2069 de 2020 conforme con los medios de acreditación del artículo 2.2.1.2.4.2 17 del presente Decreto. (Decreto 1082 de 2015, artículo 2.2.1.2.1.2.2.).
Asimismo, &amp;quot;Información de los participantes en la subasta inversa. La Entidad Estatal debe estructurar la subasta inversa de manera que antes de la adjudicación, los participantes en la subasta no identifiquen las ofertas y los Lances con el oferente que los presenta.&amp;quot;  (Decreto 1082 de 2015, artículo 2.2.1.2.1.2.3.).</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ADQUISICIÓN DE ELEMENTOS E INSUMOS PARA LA IMPLEMENTACIÓN DE UNIDADES PRODUCTIVAS DE TEJIDOS Y AGRÍCOLAS A LAS COMUNIDADES DEL RESGUARDO INDÍGENA DE CAÑO MOCHUELO, JURISDICCIÓN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al contratista, el valor del contrato de la siguiente manera: Un (01) pago final, correspondiente al cien por ciento (100%) del valor total ejecutado del contrato. este valor   será cancelado a la entrega final del servicio a satisfacción del supervisor y del municipio, previa suscripción del acta de recibo final, informe final del contratista, pagos de seguridad social y aportes parafiscales conforme a la Ley 828 de 2003 (salud, pensión, riesgos profesionales) y aportes parafiscales. Cuando a ello haya lugar del correspondiente mes cobrado. y del acta de liquidación del contrato. 
Los pagos estarán sujetos igualmente al cumplimiento de los trámites administrativos a que haya lugar. Los documentos soporten para los pagos deberán ser avalados por el supervisor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COMPRA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