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ALOJAMIENTO; SERVICIOS DE SUMINISTRO DE COMIDAS Y BEBIDAS; SERVICIOS DE TRANSPORTE; Y SERVICIOS DE DISTRIBUCIÓN DE ELECTRICIDAD, GAS Y AGUA</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$69.666.660,00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La Administración Municipal ;Hato Corozal Alto y Sostenible 2020-2023; considera necesario contar con los servicios de transporte para el desplazamiento del Alcalde y de las diferentes dependencias.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12180 12180 Habitantes del Municipio de Hato Corozal, fuente SISBEN a corte de 30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cumplir con los preceptos señalados en la Constitución Política de 1991, como por ejemplo, la aplicabilidad de la función administrativa, la cual se encuentra al servicio de los intereses generales, basados en los principios de igualdad, moralidad, eficacia, economía, celeridad, imparcialidad y publicidad.
Adicionalmente, estas deberán coordinar sus funciones al cumplimiento de los fines esenciales del Estado. (Constitución Política de 1991, artículo 209). Por parte de los municipios, deberán promover la participación comunitaria, el progreso local, prestar los servicios públicos que sean determinados por la Ley con el objetivo primordial de buscar el mejoramiento social y cultural de sus habitantes. (Constitución Política de 1991, artículo 311).
Asimismo, la Ley 1551 de 2012 “Por la cual se dictan normas para modernizar la organización y el funcionamiento de los municipios.” Insta a los municipios a cumplir y a prestar los servicios públicos a los residentes de su territorio; así como, elaborar y ejecutar los planes de desarrollo, quienes deberán incluir estrategias y políticas en concordancia con los Derechos Humanos y el Derecho Internacional Humanitario. Igualmente, dentro de sus funciones se tendrán que satisfacer las necesidades insatisfechas de los habitantes, para lograr el cumplimiento del Plan de Desarrollo Municipal. (Ley 1551 de 2012, artículo 6, numerales 1, 2 y 7). De igual forma, en cuanto a las funciones de los Alcaldes, referente a la relación con la Administración Municipal, “1. Dirigir la acción administrativa del municipio; asegurar el cumplimiento de las funciones y de la prestación de los servicios a su cargo; representarlo judicial y extrajudicialmente.” (Ley 15551 de 2012, artículo 29, literal D, numeral 1)
Teniendo en cuenta la necesidad legal presentada anteriormente, es indispensable para el cumplimiento de las funciones de la Administración Municipal y del Alcalde como ordenador del gasto, contar con el servicio de un vehículo de transporte especial terrestre para el desplazamiento de los funcionarios de las diferentes dependencias y del señor Alcalde, para el logro de las funciones, programas, proyectos, actividades y cumplimiento de líneas estratégicas, planes y proyectos que se encuentren en el Plan de Desarrollo “Hato Corozal Alto y Sostenible 2020-2023”y lograr el cumplimiento de los fines esenciales del Estado, velando por el servicio a la comunidad y garantizando el la efectividad de los derechos de todos los habitantes.
Aunado a lo anterior, el vehículo se requiere para garantizar la presencia institucional en el municipio de Hato Corozal y demás lugares donde se requiera el desplazamiento de los funcionarios públicos y las herramientas necesarias para la ejecución de las labores desarrolladas por los funcionarios públicos de la alcaldía en el desarrollo de sus funciones.
Se ha evidenciado la insuficiencia del parque automotor y de personal suficiente para la satisfacción de la necesidad requerida por la Administración Municipal, como lo es el desplazamiento de los funcionarios de las distintas dependencias y Secretarías. Por lo tanto, debido a la naturaleza del objeto a contratar, corresponde a actividades que se desarrollan de forma eficiente y eficaz y son realizadas por parte del sector privado. De esta forma, se puede contratar la prestación del servicio de transporte especial a todo costo, a través de una empresa que cuente con la infraestructura, documentación, logística y personal idóneo.
Es indispensable resaltar que para el ejercicio de estas actividades, las empresas deberán contar con los requisitos mínimos, como lo son: el Decreto 0348 de 2015, expedido por el Ministerio de Transporte “Por el cual se reglamenta el servicio público de transporte Terrestre automotor especial y se adoptan otras disposiciones”,  La Ley 336 de 1996 “Por la cual se adopta el Estatuto Nacional de Transporte” en su Artículo 5º indica que “El carácter de servicio público esencial bajo la regulación del Estado que la ley le otorga a la operación de las empresas de transporte público, implicará la prelación del interés general sobre el particular, especialmente, en cuanto a la garantía de la prestación del servicio y a la protección de los usuarios, conforme a los derechos y obligaciones que señale el reglamento para cada modo.
El servicio privado de transporte es aquel que tiende a satisfacer necesidades de movilización de personas o cosas, dentro del ámbito de las actividades exclusivas de las personas naturales y/o, jurídicas. En tal caso sus equipos propios deberán cumplir con la normatividad establecida por el Ministerio de Transporte. Cuando no se utilicen equipos propios, la contratación del servicio de transporte deberá realizarse con empresas de transporte público legalmente habilitadas en los términos del presente estatuto.” (Ley 336 de 1996, artículo 5).
De igual forma, es conveniente realizar la presente contratación, teniendo en cuenta que se cumplirán los preceptos constitucionales y Legales consagrados en la Ley 1551 de 2012, en la cual insta al cumplimiento del accionar administrativo institucional local, el cual se debe desarrollar con garantía de eficiencia, eficacia y celeridad, permitiendo de esta forma la obtención de mejores posibilidades en el cumplimiento de los objetivos y metas definidas en el Plan de Desarrollo. Igualmente, es oportuno, teniendo en cuenta que la Administración Municipal cuenta con la disponibilidad en el Rubro N° C.2.1.2.02.02.006 de nombre Servicios de alojamiento; servicios de suministro de comidas y bebidas; servicios de transporte; y servicios de distribución de electricidad, gas y agua de la fuente ingresos corrientes de libre destinación.
Que la necesidad que se plantea en el presente estudio previo, se encuentra prevista en el Plan Anual de Adquisiciones para la vigencia 2023, conforme lo establece el Decreto 1082 del 26 de mayo de 2015 (artículo 2.2.1.1.1.4.1), por el cual se reglamenta el sistema de compras y contratación pública, expedido por el Departamento Nacional de Planeación. Que el proceso contractual en sus formas y procedimientos se ajusta al Manual de Contratación del municipio de Hato corozal.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con el objetivo de dar cumplimiento a los preceptos legales señalados en la Ley 1551 de 2012, sobre las funciones de los Municipios y de los Alcaldes, considera necesario contratar el servicio de transporte para el Alcalde como para los demás funcionarios que hacen parte de las dependencias de la Alcaldía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el servicio de transporte especial terrestre de pasajeros con disponibilidad de un vehículo automotor especial a todo costo tipo camioneta doble cabina 4x4, para la movilización del señor alcalde y de los funcionarios de la Alcaldía municipal de Hato Corozal-Casanare.
2. Suministrar el vehículo a la Alcaldía Municipal de Hato Corozal en perfecto estado de funcionamiento, externa e internamente en buen estado, completamente aseado y con todos sus documentos en regla, así como seguros y/o pólizas que se requieran para que el vehículo cuente con amparo todo riesgo que asegure al propietario por perdida o daño total o parcial, lesiones o daños a terceros y a bienes propios o ajenos.
4. Se requiere que el conductor cumpla con cualidades personales tales como: honestidad, diligencia, cuidado, así como los bienes y elementos exigidos y ofrecidos en la propuesta, incluyendo equipos de comunicación y demás elementos que sean necesarios para el efectivo cumplimiento del contrato.
5. Exigir a los conductores, el cumplimiento de sus funciones y horarios de trabajo pactados con el Distrito.
6. El servicio de transporte Especial Terrestre es a todo costo que incluye (alquiler del vehículo, conductor alimentación y hospedaje del mismo, combustibles, aceites, lubricantes, mantenimiento del vehículo, peajes) y todo lo requerido para la normal prestación del servicio, los cuales serán asumidos por el contratista.
7. Asumir cualquier riesgo parcial o total que afecte a el vehículo en cumplimiento del objeto contratado, así como la responsabilidad total por los daños o perjuicios que con el vehículo se llegaren a causar a la vida o bienes de terceros, o a su conductor quien deberá estar afiliado al régimen de seguridad social (Salud, pensión y ARL), informando además que no tiene ningún tipo de relación laboral ni contractual con el municipio.
8. Las actividades correspondientes con el conductor no generaran ningún tipo de relación laboral ni contractual con el municipio de hato corozal Casanare.
9. Deberá incluir un (01) conductores con su respectiva licencia de conducción vigente donde acredite la categoría correspondiente al manejo de dicho vehículo, además deberá demostrar idoneidad y experiencia no inferior a seis (06) meses.
10. Los vehículos deben estar en disponibilidad permanente las 24 horas del día, para ser movilizados por los diferentes barrios, veredas, corregimientos, es decir, sin estar sujeto a horarios o jornadas laborales de ninguna clase, ajustándose a las programaciones establecidas en el presente proceso de selección
11. En caso de fuerza mayor o caso fortuito, reemplazará provisionalmente los vehículos por otros de iguales o superiores características.
12. Encontrarse a paz y salvo y asumir todos los costos que se generen por concepto de obligaciones tributarias con ocasión de la propiedad o tenencia del vehículo objeto del contrato durante el plazo de ejecución del mismo.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78111800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78111808</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Las especificaciones técnicas requeridas que se deben ofertar son las contenidas en el Anexo especificaciones técnicas.
Los vehículos ofrecidos deben ser de servicio público en la modalidad de transporte terrestre automotor especial, operación nacional y contar con:
1-	Tarjeta de propiedad y tarjeta de operación vigente.
2-	Seguros contractual, extracontractual, seguro todo riesgo, seguro obligatorio (SOAT), expedidos por una compañía de seguros legalmente autorizada.
3-	Revisión técnico-mecánica y emisión de gases vigente (expedido por una entidad autorizada por el Ministerio de Transporte) 
Características de los vehículos
1-	Vehículos: Tipo camioneta 4X4
2-	Modelo: Igual o superior a 2018
3-	Cilindraje: Mínimo 1998 c.c. hasta 2500
4-	Carrocería doble cabina
5-	Tipo de combustible Diesel o gasolina.
6-	Capacidad mínima cuatro pasajeros
7-	Aire acondicionado
8-	Placa de servicio especial de servicio público
9-	Full equipo
10-	Cojinería en buen estado 
11-	Vidrios eléctricos
12-	Cinturones de seguridad para todas las sillas
13-	Llantas en buen estado
14-	Portar equipo de carretera reglamentario, botiquín reglamentario con el equipo de primeros auxilios y demás elementos exigidos por el Código Nacional de Tránsito y demás normas vigentes.
15-	Seguros obligatorios contractual, civil Extracontractual, SOAT, general para todos los riesgos que demande la prestación del servicio (que ampare como mínimo responsabilidad civil contractual, extracontractual, pérdida total por daños, pérdida parcial por daños, pérdida total o parcial por hurto, transporte por pérdida total, asistencia jurídica en proceso penal, asistencia de viaje, asistencia jurídica en proceso civil)
16-	Conductor para el vehículo con disponibilidad las 24 horas
17-	Combustible suministrado por el contratista
18-	Mantenimiento a cargo del contratista
Para cada uno de los vehículos ofrecidos, se debe presentar y mantener vigentes durante la ejecución del contrato: tarjeta de operación con autorización de pasajeros, seguro obligatorio de accidentes de tránsito SOAT, licencia de tránsito, certificado de análisis de gases (excepto en los casos previstos en el artículo 52 de la Ley 69 de 2002 Código Nacional de Tránsito y en la Resolución 910 de 2008 del Ministerio del medio Ambiente, pólizas de Responsabilidad Civil Contractual y extracontractual, copia de la resolución del Ministerio de Transporte o la Secretaría de Tránsito o movilidad a la que corresponda, que habilita a la empresa proponente a prestar el servicio público de transporte terrestre automotor especial. 
El proponente deberá aportar un listado con las especificaciones técnicas de los vehículos ofrecidos, incluyendo como mínimo: marca, tipo, año, modelo y cilindraje.
Nota 1: La empresa prestadora del servicio deberá contar con resolución de habilitación para la prestación del servicio de transporte terrestre automotor especial expedida por el Ministerio de Transporte, la cual debe encontrarse vigente a la fecha de cierre del proceso de selección. En caso de que la resolución este próxima a vencerse el proponente debe indicar que ha adelantado los trámites oportunos para su renovación y el compromiso de que así lo hará. 
Nota 2: El Oferente deberá acreditar una capacidad transportadora, cuyos vehículos tengan las características requeridas para cumplir con el objeto contractual del proceso de selección
Nota 3: No podrá participar el oferente que a la fecha de cierre no cuente con la habilitación Vigente. En el caso de Consorcio o Unión Temporal, esta resolución debe ser presentada por cada uno de sus integrantes.
Fotocopia de póliza de seguro de responsabilidad civil contractual y extracontractual
Deberá acreditarse el cumplimiento de lo establecido por el Artículo 17 del Decreto 174 de 2001 en concordancia con los Artículos 994 y 1003 del Código de Comercio, según los cuales, las empresas de Transporte Público Terrestre Automotor Especial deberán tomar por cuenta propia, con una compañía de seguros autorizada para operar en Colombia, las pólizas de seguros de responsabilidad civil contractual y extracontractual que las ampare contra los riesgos inherentes a la actividad transportadora, así:
Fotocopia póliza de responsabilidad civil contractual
Que deberá cubrir como mínimo, los siguientes riesgos: a) Muerte b) Incapacidad permanente. c) Incapacidad temporal. d) Gastos médicos, quirúrgicos, farmacéuticos y hospitalarios. El monto asegurable por cada riesgo no podrá ser inferior a 60 S.M.M.LV. por persona.
Póliza de responsabilidad civil extracontractual
Que deberá cubrir al menos los siguientes riesgos: a) Muerte o lesiones a una persona. b) Daños a bienes de terceros. c) Muerte o lesiones a dos o más personas. El monto asegurable por cada riesgo no podrá ser inferior a 60 S.M.M.LV. por persona. 
Características del Recurso Humano:
El personal asignado a las labores de conducción del vehículo a proveer para la prestación del servicio debe guardar como mínimo el cumplimiento de las siguientes características:
●	Conductor 
●	Licencia de conducción vigente categoría C1 
●	Disponibilidad de tiempo completo.
●	Afiliación al Sistema de Seguridad Social y pensiones.
El contratista deberá garantizar que el comportamiento del conductor del vehículo se ajuste en todo momento a los buenos modales, por ello el mismo debe disponer de excelentes relaciones humanas, que faciliten el desarrollo de la estrategia transversal, de afecto, buen trato, comunicación y tolerancia para con todo el personal.
Para desarrollar las actividades del presente contrato se debe contar con empresas legalmente habilitadas para la prestación del servicio de transporte terrestre y que cumpla con los documentos que lo habilitan.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basándose en la necesidad de la Administración Municipal de alquilar un vehículo que preste el servicio de transporte especial terrestre para el traslado de personal, bienes y enseres requeridos para el cumplimiento de su función pública y de los proyectos que ejecuta la alcaldía de Hato Corozal.
1. En el mes de enero de 2023, se enviaron solicitudes de cotizaciones a las empresas: TRANSPORTES Y SERVICIOS ARCO IRIS S.A.S., Transabana S.A.S. y SERVICIOS LOGÍSTICOS VIALES DE COLOMBIA S.A.S. (Ver anexo).
2. En el mes de enero de 2023 se recibieron Tres (03) cotizaciones de las empresas: TRANSPORTES Y SERVICIOS ARCO IRIS S.A.S., Transabana S.A.S. y SERVICIOS LOGÍSTICOS VIALES DE COLOMBIA S.A.S. (Ver anexo)
CONCLUSIÓN:
La cotización que se tendrá en cuenta para la elaboración del presupuesto oficial, es la de menor valor y que cumple en su cotización con  los elementos, características, especificaciones técnicas y condiciones de entrega, acorde con las requeridas por el municipio de Hato corozal.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Los fundamentos jurídicos que soportan la modalidad de selección y el contrato que se derive del presente
proceso de selección, están soportados conforme a los criterios que se señalan a continuación:
• Ley 80 de 1993 “Por la cual se expide el Estatuto General de Contratación de la Administración Pública”,
en su articulado establece:
El Artículo 1° señala que dicha ley tiene por objeto disponer las reglas y principios que rigen los contratos de las
entidades estatales.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 Ley 1150 de 2007 “por medio de la cual se introducen medidas para la eficiencia y la transparencia en la
ley 80 de 1993 y se dictan otras disposiciones generales sobre la contratación con recursos públicos”, en su
articulado dispone:
1) El Artículo 1° establece que la ley tiene por objeto introducir modificaciones en la Ley 80 de 1993, así como
dictar otras disposiciones generales aplicables a toda contratación con recursos públicos.
2) El Artículo 2° adicionado por el Artículo 94 de la Ley 1474 de 2011, establece que la escogencia del contratista
se efectuará con arreglo a las modalidades de selección de licitación pública, selección abreviada, concurso de
méritos, contratación directa y contratación de mínima cuantía, con base en las reglas establecidas para cada
caso en particular.
3) El numeral 2° del Artículo 2°, establece que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El Gobierno Nacional reglamentará la materia.
4) El literal b) del numeral 2° del Artículo 2°, establece como causal para la selección abreviada, la menor cuantía
acorde con el valor del presupuesto anual de la entidad, así:
b) La contratación de menor cuantía. Se entenderá por menor cuantía los valores que a continuación se
relacionan, determinados en función de los presupuestos anuales de las entidades públicas expresados en
salarios mínimos legales mensuales.
Para las entidades que tengan un presupuesto anual superior o igual a 1.200.000 salarios mínimos legales
mensuales, la menor cuantía será hasta 1.000 salarios mínimos legales mensuales.
Las que tengan un presupuesto anual superior o igual a 850.000 salarios mínimos legales mensuales e inferiores a 1.200.000 salarios mínimos legales mensuales, la menor cuantía será hasta 850 salarios mínimos legales
mensuales.
Las que tengan un presupuesto anual superior o igual a 400.000 salarios mínimos legales mensuales e inferior a
850.000 salarios mínimos legales mensuales, la menor cuantía será hasta 650 salarios mínimos legales
mensuales.
Las que tengan un presupuesto anual superior o igual a 120.000 salarios mínimos legales mensuales e inferior a
400.000 salarios mínimos legales mensuales, la menor cuantía será hasta 450 salarios mínimos legales
mensuales.
Las que tengan un presupuesto anual inferior a 120.000 salarios mínimos legales mensuales, la menor cuantía
será hasta 280 salarios mínimos legales mensuales;¨(Subrayado y negrilla fuera de texto)
En el caso del Municipio de Hato Corozal, el presupuesto anual del año 2021 es inferior a 120.000 SMLMV, por lo
que la menor cuantía en la contratación se estableció en 280 SMLMV. De esta manera, el valor de la presente
contratación asciende a la suma de 77,047 SMLMV aproximadamente.
Así las cosa, atendiendo al objeto y cuantía de la convocatoria pública se invoca como causal de contratación la
consagrada en el numeral 2 del artículo 2 de la Ley 1150 de 2007, por cuanto permite la escogencia del contratista
a través de una SELECCIÓN ABREVIADA MENOR CUANTÍA y se procede de conformidad con lo dispuesto en el
artículo 2 numeral 2 literal b) de la Ley 1150 de 2007 concordante con el artículo 2.2.1.2.1.2.20. del Decreto 1082
de 2015, los cuales constituyen el procedimiento aplicable a los procesos de contratación realizados por selección
abreviada menor cuantía.
El régimen jurídico aplicable al presente proceso de selección abreviada de menor cuantía, será el relacionado a
continuación:
Capítulo 2, Sección 1, Subsección 2 del Artículo 2.2.1.2.1.2.20. del Decreto 1082 de 2015, Procedimiento de
selección abreviada de menor cuantía.
Además de las normas generales establecidas en el presente decreto, las siguientes reglas son aplicables a la
selección abreviada de menor cuantía
1. En un término no mayor a tres (3) días hábiles contados a partir de la fecha de apertura del Proceso de
Contratación los interesados deben manifestar su intención de participar, a través del mecanismo establecido para
el efecto en los pliegos de condiciones.
2. Si la entidad estatal recibe más de diez (10) manifestaciones de interés puede continuar el proceso o hacer un
sorteo para seleccionar máximo diez (10) interesados con quienes continuará el Proceso de Contratación. La
entidad estatal debe establecer en los pliegos de condiciones si hay lugar a sorteo y la forma en la cual lo hará.
3. Si hay lugar a sorteo, el plazo para la presentación de las ofertas empezará a correr el día hábil siguiente a la
fecha en la cual la entidad estatal informe a los interesados el resultado del sorteo.
4. La entidad estatal debe publicar el informe de evaluación de ofertas durante tres (3) días hábiles.
La presente selección del contratista está sometida a los principios de transparencia, economía, responsabilidad,
debido proceso, selección objetiva e igualdad de derechos y oportunidades de los que se deriva la obligación de
someter a todos los oferentes a las mismas condiciones definidas en la ley y en el pliego de condiciones.
Cabe recordar que las condiciones plasmadas en los estudios previos y los pliegos de condiciones forman parte
esencial del contrato; son la fuente de derechos y obligaciones de las partes y elemento fundamental para su
interpretación e integración, pues contienen la voluntad de la administración a la que se someten los proponentes
durante la convocatoria y el oferente favorecido durante el mismo lapso y, más allá, durante la vigencia del contrato.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Hato Corozal Casanare relacionó los
riesgos previsibles involucrados en la presente contratación, con el propósito de incluirlos dentro de la ecuación
contractual, asignando directrices para su tratamiento, al tenor de lo previsto por el artículo 27 de la Ley 80 de
1993, según el cual &amp;quot;En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DE TRANSPORTE ESPECIAL TERRESTRE PARA EL TRASLADO DE PERSONAL, BIENES Y ENSERES REQUERIDOS PARA EL CUMPLIMIENTO DE SU FUNCIÓN PÚBLICA Y DE LOS PROYECTOS QUE EJECUTA LA ALCALDÍA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TANTO EN EL ÁREA RURAL Y URBANA , EN EL DEPARTAMENTO DE CASANARE Y A NIVEL NACIONAL SI LA ENTIDAD LO REQUIERE. (CASANARE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pagará al contratista el valor del contrato de la siguiente manera: Mediante siete (7) pagos, de los cuales seis (06) son pagos mensuales vencidos por el valor de: Once  Millones de pesos m/cte ($ 11.000.000), y un (1) pago final por un valor de tres millones seiscientos sesenta y seis mil seiscientos sesenta pesos m/cte ($3.666.660).
Para la realización de los pagos, el contratista deberá presentar los siguientes documentos: 
•	Informe de avance de ejecución debidamente aprobado por la supervisión.
•	Planilla de recorrido o desplazamiento debidamente diligenciadas.
•	Certificación de cumplimiento y recibo a satisfacción del servicio por parte del supervisor del contrato.
•	Deberá anexar copia de los pagos efectuados por concepto de seguridad social y paz y salvo por aportes parafiscales, salud, pensión y riesgos laborales del representante legal de la empresa y del conductor.
•	Con el ultimo pago suscripción del acta de liquidación y terminación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Diez  (10)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69.666.660,00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