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2022-12-06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VULNERABLE Y POBLACIÓN CON ENFOQUE DIFERENCIAL DEL   Hato Corozal , Fortalecimiento del Sector Agropecuario e Impulso al Desarrollo Empresarial y Productivo,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2020851250003 , 2021851250007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2-40-ISAG/2.3.2.02.02.009.170203806.2020851250003</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INGRESOS CORRIENTES DE LIBRE DESTINACION</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$10.000.000,00</w:t>
                  </w:r>
                </w:p>
              </w:tc>
            </w:tr>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2-30-ISEA/2.3.2.02.02.009.410305202.2021851250007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INGRESOS CORRIENTES DE LIBRE DESTINACION</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$11.484.504,00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BENEFICIAR A 100 MUJERES EN CONDICIÓN DE POBREZA Y VULNERABILIDAD CON CAPACITACIÓN EN FOMENTO DE ACTIVIDADES PRODUCTIVAS, OFICIOS MANUALES, ARTESANÍAS, ESTILOS DE VIDA SALUDABLE Y NUTRICIÓN, ENTRE OTROS , IMPLEMENTAR ACCIONES DE PROMOCIÓN MEDIANTE EL APOYO A 4 EVENTOS, RUEDAS DE NEGOCIOS Y/O FERIAS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Documentos normativos , Servicio de asistencia en temas de desarrollo de habilidades no cognitivas para la inclusión productiva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Desarrollar la feria gastronómica, artesanal u empresarial para la venta de productos elaborados por las mujeres del área urbana y rural del Municipio; al igual que lograr la capacitación de las mismas en temas relacionados a las actividades productivas y a emprenderismo.</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4207 Habitantes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5</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Dentro de los principios fundamentales de la Constitución, se encuentran los fines esenciales del Estado y de esta forma servir a la comunidad, la promoción de los derechos y deberes, además de facilitar la participación de las personas en la vida económica, cultural, política y administrativa. (Constitución Política de 1991, artículo 2).
Asimismo, se resaltar por parte de la Constitución la importancia de la mujer, por lo tanto los derechos y oportunidades de hombres y mujeres son iguales, al igual que las oportunidades. De esta forma, la discriminación queda abolida. (Constitución Política de 1991, artículo 43).
Ahora bien, en relación a la producción de los alimentos, estos gozaran de especial protección. Puesto que son los agricultores los que poyan y aportan gran parte del desarrollo económico y como Entidades Territoriales deberá ser protegido y promovido. (Constitución Política de 1991, artículo 63).
En el caso de las funciones de los Municipio, estos en general deberán velar por satisfacer las necesidades propias de sus residentes, de tal forma que, se deberán tener como sujetos de especial protección “…”niños, las niñas, los adolescentes, las mujeres cabeza de familia, las personas de la tercera edad, las personas en condición de discapacidad “…” (Ley 1551 de 2012, artículo 6, numeral 7).
Las mujeres han venido siendo un aporte fundamental en el desarrollo social, económico, político y cultural. Es por esto, que en el Documento CONPES SOCIAL No. 161 de 2013 se insta establecer acciones, estrategias sectoriales y articuladas que son el fortalecimiento y empoderamiento de la mujer. (Documento Conpes 161 de 2013).
Se evidencia que con respecto al análisis que se realiza para la formulación del documento Conpes social,
En el 2011, en una semana promedio las mujeres dedicaron 40 horas al trabajo remunerado y los hombres 49. Sin embargo, durante la misma semana típica las mujeres dedicaron 28 horas a trabajos no remunerados y los hombres sólo 8. En el agregado, incluyendo trabajo remunerado y no remunerado, la jornada laboral de las mujeres sobrepasa a la de los hombres en 10 horas semanales25. Esta división del trabajo caracterizada por una adjudicación de las labores domésticas y de cuidado del hogar a las mujeres ha creado una barrera de entrada de la población femenina al mercado de trabajo, limitando su capacidad de competir en condiciones igualitarias a las de los hombres además de un bajo reconocimiento social a ese trabajo, altamente invisibilizado. La evidencia muestra que, para 2011, la tasa de participación para mujeres con personas de cuidado en su hogar era del 47.8%, mientras que la de las mujeres sin personas de cuidado en su hogar era del 57.9%26. Actualmente, el DANE está levantando la Encuesta Nacional de Uso del Tiempo –ENUC- que servirá de base para medir las actividades de cuidado y el trabajo doméstico no remunerado. Por tanto la contabilización de las mismas en las cuentas nacionales se hará en los años venideros dando cumplimiento a la Ley 1413 del 2010. (Documento Conpes Social No. 161 de 2013. Pág. 15).
Asimismo, las mujeres en relación a los hombres presentan unas condiciones desfavorables con una tasa de desempleo más baja.  
“Vale la pena señalar que la importancia del tema de género, si bien nace desde el plano de la protección y garantía de los derechos fundamentales, trasciende a una esfera económica y de desarrollo en la medida en que la transversalización de la igualdad de género crea economías inteligentes caracterizadas por mejoras en eficiencia, aumentos en productividad, mayores resultados de desarrollo para las generaciones futuras y fortalecimiento de instituciones más representativas.” (World Bank. World Development Report 2012: Gender Equality and Development. 2011 The International Bank for Reconstruction and Development / The World Bank; Washington DC.).
Por lo tanto, se hace necesario resaltar la labor de la mujer Hatocorozaleña que tiene dotes culturales, empresariales y gastronómicos, lo que aporta al crecimiento económico. Es por esto que, se pretende desarrollar una feria gastronómica, artesanal y empresarial con el objetivo que las mujeres, tanto del área urbana como las rurales puedan exhibir y vender sus productos, dando a conocer que se está desarrollando un trabajo comercial por parte de ellas, las cuales, en la elaboración de tejidos, cotizas, platos típicos de la región, además de cultivar productos que ayudan al mercadeo en el Municipio; es por esto, que se hace necesario aportarles conocimiento con una capacitación en emprendimiento y actividades productivas.
De tal forma, las actividades estarán divididas en: la feria gastronómica, artesanal y empresarial, la cual contará con un presentador, contratación de un cantante de música llanera, alquiler de sillas, mesas, sonido y el suministro de incentivos como lo son Cien (100) ponchos, para el reconocimiento de las mujeres en su labor. Por otro lado, la capacitación a 30 mujeres en temas relacionados con emprenderismo, actividades productivas en dos jornadas, con el objetivo de incentivarlas a adquirir conocimiento y a continuar desarrollando sus actividades económicas, que son el aporte al desarrollo económico de la región.
Lo anterior, se encuentra consagrado en el Plan de Desarrollo Municipal “Hato Corozal Alto y Sostenible 2020-2023” Línea Estratégica No. 1 “Hato Corozal Semillero de proyectos para el desarrollo y la inclusión social” Programa: población con enfoque de derechos primero. Para la inclusión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beneficiar a 100 mujeres en condición de pobreza y vulnerabilidad con capacitación en fomento de actividades productivas, oficios manuales, artesanías, estilos de vida saludable y nutrición, entre otros. 
Asimismo, para el desarrollo de este evento, se cuenta con la disponibilidad presupuestal en los Rubros No 2-30-ISEA/2.3.2.02.02.009.410305202.2021851250007 Servicios para la comunidad, sociales y personales y 2.3.2.02.02.009.170203806.2020851250003, fuente de financiación: SERVICIOS PRESTADOS A LAS EMPRESAS Y SERVICIOS DE PRODUCCIÓN.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de Desarrollo Social, Integral y Productivo considera necesario y conveniente resaltar la labor que realiza la mujer Hatocorozaleña, en pro de la reactivación económica.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la ejecución del presente proceso contractual, se requiere el cumplimiento de las siguientes actividades:
FERÍA GASTRONOMICA, ARTESANAL Y EMPRESARIAL
1.	Garantizar la presentación de Un (1) presentador o maestro de ceremonia, quien acompañará en la tarima cultural y artística durante el día del evento.
2.	Realizar presentación de Dos (02) muestras artísticas en la modalidad de canto llanero: como invitado especial de talla departamental: artistas de genero llanero, con tres (3) años de trayectoria musical y experiencia a nivel departamental, que interprete como mínimo 10 canciones de sus grabaciones en la feria.
3.	Garantizar el servicio de sonido. Equipo de amplificación de audio. Sistema de audio debidamente equilibrado en vatios, los cuales han sido debidamente distribuidos desde los power hacia las bocinas para lograr el máximo rendimiento posible del sistema. El equipo de amplificación de audio debe ser de 5,000 vatios de potencia, con 4 cabinas de amplificación, 5 micrófonos inalámbricos, 2 micrófonos de cable con servicio de operación incluida, mezclador para micrófonos.
4.	Realizar la entrega de Cien (100) ponchos elaborados en material algodón, los cuales deberán tener en los extremos Dos (02) logotipos bordados a full color, puntada cerrada de 18000 puntadas aproximadamente cada uno.
5.	Realizar el alquiler de Cincuenta (50) MESAS PLASTICAS: Alquiler de mesas tipo plástico para la mesa de protocolo, incluye decoración.
6.	Realizar el alquiler de Ochenta (80) SILLAS PLASTICAS: Alquiler de 60 sillas tipo plástico para los asistentes a expositores y asistentes.
7.	Suministro de Ciento Cincuenta (150) refrigerios, tipo industrializado el cual consiste en un producto sólido y un producto refrescante. Se debe garantizar Una (1) empanada y una bebida con jugo de fruta en envase tetra pack de 200 ml.
8.	Alquiler e instalación de tarima en sitio. 10 secciones 2X2 con 1,5 a 2,0 m de altura + escalera
9.	Realiza el alquiler de Seis (06) carpas, garantizar el montaje y desmontaje de Cinco (05) carpas (puestas para la exhibición de los productos de artesanía y gastronomía)
CAPACITACIÓN EMPRENDIMIENTO Y ACTIVIDADE PRODUCTIVA
10.	Garantizar la realización de un taller en temas de emprendimiento, y actividades productivas, contando con un profesional administrador financiero y de sistemas y/o administrador de empresas, con un experiencia de Cinco (05) años de experiencia general y Una (01) especifica en proyectos.
11.	Suministro de Setenta (70) refrigerios, tipo industrializado el cual consiste en un producto sólido y un producto refrescante. Se debe garantizar Una (1) empanada y una bebida con jugo de fruta en envase tetra pack de 200 ml.
12.	Garantizar el suministro de Setenta (70) almuerzos tipo especial, que contiene: Una porción de carne asada a la llanera, un envuelto de arroz, plátano maduro, Una porción de arroz y guacamole. Servido en plato de icopor con utensilios desechables. Incluye una bebida hidratante preparada. Así mismo deberán ser suministrados con garantía de buena presentación, inocuidad e higiene al momento de su consumo, su distribución es de una (1) unidad por cada participante. De igual manera para la entrega el personal debe contar con todos los elementos de protección personal para Covid-19. Para agilizar la entrega debe contar como mínimo con 4 personas.
13.	Atender los requerimientos del supervisor.</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72151603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56101522</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49121503</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56101519</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53102500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documento de anexo técnico.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Programa: población con enfoque de derechos primero. Para la inclusión de la mujer, discapacitado, población afrodescendiente y familias pobres. 
Meta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Producto: beneficiar a 100 mujeres en condición de pobreza y vulnerabilidad con capacitación en fomento de actividades productivas, oficios manuales, artesanías, estilos de vida saludable y nutrición, entre otros.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Constitución Política de 1991,
ARTÍCULO 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ARTÍCULO 43. La mujer y el hombre tienen iguales derechos y oportunidades. La mujer no podrá ser sometida a ninguna clase de discriminación. Durante el embarazo y después del parto gozará de especial asistencia y protección del Estado, y recibirá de éste subsidio alimentario si entonces estuviere desempleada o desamparada.
El Estado apoyará de manera especial a la mujer cabeza de familia. 
Ley 1551 de 2012, artículo 6, numeral 7.
7. Procurar la solución de las necesidades básicas insatisfechas de los habitantes del municipio, en lo que sea de su competencia, con especial énfasis en los niños, las niñas, los adolescentes, las mujeres cabeza de familia, las personas de la tercera edad, las personas en condición de discapacidad y los demás sujetos de especial protección constitucional. (Ley 1551 de 2012, artículo 6, numeral 7).</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(3)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noviembre se solicitaron  y recibieron Tres (03) cotizaciones.
	En el mes de noviembre se recibieron las Tres (03) cotizaciones.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Veintiún Millones Cuatrocientos Ochenta y Cuatro Mil Quinientos Cuatro Pesos M/Cte. ($21.484.504), con recursos del presupuesto municipal de la vigencia fiscal 2022, provenientes de la fuente:  INGRESOS CORRIENTES DE LIBRE DESTINACION EXCEPTO EL 42% DE LIBRE DESTINACIÓN DE PROPOSITO GENERAL DE MPIOS DE CATEGORIA 4, 5 Y 6 y INGRESOS CORRIENTES DE LIBRE DESTINACION EXCEPTO EL 42% DE LIBRE DESTINACIÓN DE PROPOSITO GENERAL DE MPIOS DE CATEGORIA 4, 5 Y 6.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 LOS BIENES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POR EL 10% DEL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PRESTACIÓN DE SERVICIOS PARA EL DESARROLLO DE UNA FERIA ARTESANAL Y GASTRONÓMICA Y LLEVAR A CABO CAPACITACIÓN PARA EL FOMENTO DE ACTIVIDADES PRODUCTIVAS, DIRIGIDO A LAS MUJERES HATOCOROZALEÑAS.</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el 100% del valor del contrato,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Quince  (15)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21.484.504,00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2022-00272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