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2021-06-30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2021,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LLUVIA MINELLY GONZALEZ PRADO,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DEXY YURIBEL HURTADO MARTINEZ, identificado(a) con cédula de ciudadanía 1118649803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2021-02-01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2021-02-01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2021-06-30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2021-06-30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DEXY YURIBEL HURTADO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LLUVIA MINELLY GONZALEZ PRADO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2021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LLUVIA MINELLY GONZALEZ PRADO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DEXY YURIBEL HURTADO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LLUVIA MINELLY GONZALEZ PRADO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0002 de 2021-02-01 cuyo Objeto: 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