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H11.2.3.2.02.02.009.4501004.2020851250012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ACCIONES EN EL MARCO DE LA RESPONSABILIDAD PENAL DE MENORES CESPA Y HOGARES DE PASO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Contar con los servicios de un hogar de paso, para ubicación inmediata y provisional del niño, niña o adolescente cuando se evidencie vulneración e inobservancia de sus derechos.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a fin de lograr el cumplimiento de los fines esenciales del Estado consagrados en la Constitución Política de 1991, donde fija la necesidad y obligación de servir a la comunidad, garantizar la prosperidad y el cumplimiento de sus derechos, libertades y deberes; asimismo de lograr que las autoridades protejan a todas las personas, ya sea en su vida, honra, bienes, creencias, economía, política y demás aspectos relacionados. (Constitución Política de 1991, artículo 2).  
Ahora bien, esa misma protección ejercida por las autoridades del Estado deberá estar enfocada hacia la protección de los niños, niñas y adolescentes, los cuales tienen especial protección siendo sus derechos de mayor prevalencia que la de los mayores. Por lo tanto, en el artículo 44 el Estado consagró los derechos fundamentales de los niños, niñas y adolescentes, tales como: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Para el caso de los adolescentes, el Estado debe garantizar la participación de estos en organismos públicos, privados y los que tengan a cargo la protección de ellos en su educación y en el progreso de los mismos. Adicionalmente, es obligación del Estado velar por la seguridad social integral y el subsidio alimentario cuando se encuentren en condiciones de indigencia. (Constitución Política de 1991, artículo 45).
De igual forma, en el caso de los municipios, estos tienen dentro de sus funciones procurar la solución de las necesidades insatisfechas de los habitantes de su territorio, en especial los de los niños, niñas y adolescentes-NNA. (Ley 1551 de 2012, artículo 6, numeral 7).
Teniendo en cuenta los aspectos Constitucionales referentes a la protección de los menores, se estipula  bajo la Ley 1098 de 2006 o también llamado Código de la Infancia y la Adolescencia, quien tiene como objetivo y finalidad garantizar el cumplimiento y garantía de los derechos y libertades de los niños, niñas y adolescentes; además de establecer normas sustantivas y procesales para el logro de esta protección. (Ley 1098 de 2006, artículo 1 y 2). Igualmente, la presente Ley establece a los menores como sujetos titulares de derecho. (Ley 1098 de 2006, artículo 3). Adicionalmente, son sujetos de protección integral para el reconocimiento de sus derechos y protección y prevención de amenazas, vulneración y restablecimiento de sus derechos. Esta protección se evidenciará en políticas, planes, programas y acciones que deben ser dispuestas y ejecutadas por parte del Estado, los Departamentos y municipios. (Ley 1098 de 2006, artículo 7).
En cuanto a la corresponsabilidad que debe existir entre el Estado, la sociedad y la familia; estos deben velar por la protección, atención y cuidado. Aunque es importante resaltar que las Entidades públicas y/o privadas deberán prestar los servicios sociales, invocando el principio de la corresponsabilidad. (Ley 1098 de 2006, artículo 10).
Dentro de la protección que debe brindar el Estado y sus Entidades a los niños, niñas y adolescentes-NNA, se encuentran las medidas de restablecimiento de derechos, las cuales se entienden por actuaciones de restauración de la dignidad e integridad y la garantía del cumplimiento de derechos, cuando se evidencie vulnerabilidad a los mismos. (Ley 1098 de 2006, artículo 50). Estos procedimientos se encuentran bajo las autoridades públicas y tendrán como obligación el direccionamiento de las denuncias ante los entes y/o instituciones como defensorías de familia, Comisarías de Familia, en algunos casos Personería e Inspecciones de Policía. (Ley 1098 de 2006, artículo 51).
En cuanto a las medidas de restablecimiento, se encuentra:
1. Amonestación con asistencia obligatoria a curso pedagógico. 2. Retiro inmediato del niño, niña o adolescente de la actividad que amenace o vulnere sus derechos o de las actividades ilícitas en que se pueda encontrar y ubicación en un programa de atención especializada para el restablecimiento del derecho vulnerado. 3. Ubicación inmediata en medio familiar. 4. Ubicación en centros de emergencia para los casos en que no procede la ubicación en los hogares de paso. 5. La adopción. 6. Además de las anteriores, se aplicarán las consagradas en otras disposiciones legales, o cualquier otra que garantice la protección integral de los niños, las niñas y los adolescentes. 7. Promover las acciones policivas, administrativas o judiciales a que haya lugar. (Ley 1098 de 2006, artículo 53) (Subrayado fuera del texto original).
Para el caso de los hogares de paso, estos tienen un  carácter de transitorios, puesto que es una ubicación provisional e inmediata de los menores. Su duración no podrá exceder los Ocho (08) días hábiles, tiempo que será utilizado para decretar otra medida de protección. (Ley 1098 de 2006, artículo 57. En cuanto a la red de hogares de paso, son un grupo de familias que se encuentran registradas en el programa de protección de los niños, niñas y adolescentes-NNA. Su organización se encuentra bajo los Gobernadores y Alcaldes y contaran con el apoyo técnico del Instituto Colombiano de Bienestar Familiar-ICBF. 
Asimismo, mediante Resolución No. 10364 de 2019, se aprueba la modificación del lineamiento técnico de modalidades para la atención de niños, niñas y adolescentes, con derechos amenazados y/o vulnerados. En referencia a los hogares de paso, Considera dos modalidades de atención transitoria la submodalidad Familia 4 y la Submodalidad casa hogar 12, el cual debe funcionar las Veinticuatro (24) horas, los Siete (07) días de la semana y la permanencia es de máximo Ocho (08) días hábiles. Dicha inobservancia, amenaza o vulneración se evidencia cuando no aparezcan los padres, los parientes o las personas responsables de su cuidado y atención.  (Resolución No. 10364 de 2019).
Igualmente, el hogar de paso debe velar por restablecer los derechos vulnerados a los menores y para el desarrollo de este objetivo se apropiaron partidas presupuestales para solventar las necesidades del hogar de paso. Asimismo, para garantizar la prestación de los servicios de alimentación, los cuales estarán compuestos de desayuno, almuerzo, comida y dos (02) refrigerios; la alimentación contendrá el número de calorías y nutrientes que sean requeridos por los menores, teniendo en cuenta su desarrollo y condiciones nutricionales, verificando el patrón definido por el ICBF. Adicionalmente a la alimentación el hogar de paso deberá  prestar una dotación comprendida en un espacio habitacional el cual deberá contar con la disponibilidad de un armario o mueble donde el menor pueda ubicar sus pertenencias,  asimismo se encuentra la dotación de elementos de aseo personal, que será para uso diario. (Resolución No. 10364 de 2019).
Por lo anterior, el Municipio de Hato Corozal, teniendo en cuenta la necesidad legal consagrada anteriormente y consiente de la obligación social con la comunidad, en especial con los niños, niñas y adolescentes-NNA, considera necesario contar con un hogar de paso que cumpla con los requisitos exigidos en la ley y en la mencionada Resolución No. 10364 de 2019. Igualmente, el equipo interdisciplinario de la Comisaría de Familia, aprobó y avalo a la señora Sara Barón Moreno por cumplir los requisitos exigidos para el funcionamiento del hogar de paso en el Municipio de Hato Corozal, bajo el acta de aprobación que será anexo a este documento.
Adicionalmente, se logrará dar cumplimiento al Plan de Desarrollo “Hato Corozal Alto y Sostenible 2020-2023” que en su Línea Estratégica: Hato Corozal Alto y Sostenible por el Fortalecimiento Institucional Comunitario” Sector: Seguridad y Convivencia; Programa: Hato Corozal y Alto y Sostenible con mejor seguridad y Convivencia; Meta Resultado: Disminuir los índices de inseguridad del Municipio; Meta producto: Fortalecer acciones en el marco de la responsabilidad penal de menores CESPA y Hogares de Paso.
Asimismo, es conveniente realizar la presente contratación, para así lograr el cumplimiento de los mandatos constitucionales y legales, presentados anteriormente, además de prestar los servicios a la comunidad. Simultáneamente, es oportuno a sabiendas que la Administración Municipal cuenta con los recursos para financiar esta contratación en el Rubro No. H11.2.3.2.02.02.009.4501004.2020851250012 de nombre SERVICIOS PARA LA COMUNIDAD, SOCIALES Y PERSONALES y fuente de financiación INGRESOS CORRIENTES DE LIBRE DESTINACION (ICLD).
Por último y teniendo en cuenta la necesidad legal y social descrita anteriormente, se considera de obligatorio cumplimiento contar con los servicios de un hogar de paso sub modalidad familia 4; adicionalmente se referenció y anexo la idoneidad de la persona que ejecutará las actividades descritas en el ítem anterior. 
Teniendo en cuenta que la obligación legal que el Municipio debe a la Constitución y a la Ley 1098 de 2006 y a la obligación con los niños, niñas y adolescentes-NNA se considera necesario contar con el servicio de un hogar de paso que este avalado y certificado por el Instituto Colombiano de Bienestar Familiar-ICBF con el objetivo de restablecer los derechos vulnerados a los menores del Municipio Hato Corozal.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la prestación del servicio de hogar de paso, se requirió la realización de una convocatoria por parte de la Secretaría General y de Gobierno, con el acompañamiento de la Comisaría de Familia y su equipo interdisciplinario, para verificar el hogar que cumpliera con todos los requisitos exigidos por el Instituto Colombiano de Bienestar Familiar-ICBF en los lineamientos técnicos de modalidades para la atención de niños, niñas y adolescentes con derechos inobservados, amenazados o vulnerados.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Llevar en forma clara, metódica y ordenada el libro de registro de ingreso y retiro de niños, niñas y adolescentes del Hogar de Paso.  
2.	Brindar al niño, niña o adolescente la atención y cuidados indispensables para garantizar su desarrollo integral: físico, afectivo, moral, emocional, social e intelectual garantizándole esparcimientos en sus tiempos libres, de NNA que sean entregados por el Instituto Colombiano de Bienestar Familiar-ICBF por vulneración de los derechos por el término de Ocho (08) días hábiles.
3.	Informar de forma inmediata a la autoridad competente bajo cuya responsabilidad se adelante el proceso administrativo de restablecimiento de derechos, cualquier novedad acerca de la evolución y estado general del niño, niña o adolescente; o cualquier circunstancia que afecte la prestación del servicio y ponga en riesgo la integridad física o emocional de los niños, niñas y adolescentes a su cuidado.
4.	Dar Cumplimiento con las acciones descritas en la Resolución No. 10364 de 2019 para lograr dar cumplimiento a la medida de restablecimiento de derechos, como lo es espacio habitacional o alojamiento (teniendo en cuenta las condiciones medio-ambientales; suministro de alimentos comprendidos en desayuno, almuerzo y cena; adicionalmente de las onces (que cumplan con las especificaciones exigidas por el ICBF).
5.	Suministrar a los menores durante los Ocho (08) días vestuario, elementos de aseo personal, dotación escolar (si es necesario), zapatos y demás elementos que sean requeridos para el proceso de restablecimiento de los derechos.
6.	Mantener en sus momentos de ocio ocupados con juegos de mesa, para así lograr el desarrollo libre de su personalidad y de habilidades comunicativas.
7.	Cuando sea necesario y requerido los servicios de salud de los menores que se alleguen al hogar de paso, con el acompañamiento y suministro de los medicamentos que sean solicitados por los médicos.
8.	Informar a la supervisión sobre las novedades que se presenten con los niños, niñas y adolescentes-NNA.
9.	Presentar informe mensual de avance de actividades contractuales con visto bueno del supervisor y pago de seguridad social.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Administración Municipal teniendo en cuenta los preceptos legales consagrados en la Ley 1098 de 2006, Resolución No. 10364 de 2019 y teniendo en cuenta que posterior a la convocatoria realizada por la Secretaría General y de Gobierno y avalada por la Comisaría de Familia y su equipo interdisciplinario, se evidenció y reconoció a un hogar de paso.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4: HATO  COROZAL ALTO   Y   SOSTENIBLE POR EL FORTALECIMIENTO INSTITUCIONAL Y COMUNITARIO.
SECTOR: GOBIERNO TERRITORIAL
PROGRAMA: HATO COROZAL ALTO Y SOSTENIBLE CON MEJOR SEGURIDAD Y CONVIVENCIA.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artículo 44 y 45.
&amp;quot;Son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demás.&amp;quot; (Constitución Política de 1991, artículo 44).
&amp;quot;El adolescente tiene derecho a la protección y a la formación integral.
El Estado y la sociedad garantizan la participación activa de los jóvenes en los organismos públicos y privados que tengan a cargo la protección, educación y progreso de la juventud.&amp;quot; (Constitución Política de 1991, artículo 45).
 Ley 1098 de 2006,
&amp;quot;Ubicación en hogar de paso. La ubicación en hogar de paso es la ubicación inmediata y provisional del niño, niña o adolescente con familias que forman parte de la red de hogares de paso. Procede la medida cuando no aparezcan los padres, parientes o las personas responsables de su cuidado y atención.
La ubicación en Hogar de Paso es una medida transitoria, y su duración no podrá exceder de ocho (8) días hábiles, término en el cual la autoridad competente debe decretar otra medida de protección; (Ley 1098 de 2006, artículo 57).
&amp;quot;Se entiende por Red de Hogares de Paso el grupo de familias registradas en el programa de protección de los niños, las niñas y los adolescentes, que están dispuestas a acogerlos, de manera voluntaria y subsidiada por el Estado, en forma inmediata, para brindarles el cuidado y atención necesarios.
En todos los distritos, municipios y territorios indígenas del territorio nacional, los gobernadores, los alcaldes, con la asistencia técnica del Instituto Colombiano de Bienestar Familiar, organizarán las redes de hogares de paso y establecerá el registro, el reglamento, los recursos, los criterios de selección y los controles y mecanismos de seguimiento y vigilancia de las familias, de acuerdo con los principios establecidos en este código.&amp;quot; (Ley 1098 de 2006, artículo 58).</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fue elaborado por la Secretaría General y de Gobierno determinando el precio de conformidad con el estudio del sector, a través de los precios históricos que se han cancelado por concepto de este servicio.
Para prestar atención integral, inmediata y provisional a niños, niñas y adolescentes que estén en situación de amenaza o vulneración de derechos. Por lo anterior, el municipio de Hato Corozal estableció un presupuesto de Dieciocho Millones de pesos M/Cte. ($18.000.000) el cual se encuentra respaldado por el Rubro N° H11.2.3.2.02.02.009.4501004.2020851250012 de nombre servicios para la comunidad, sociales y personales y fuente de financiación ingresos corrientes de libre destinación (ICLD) Y tendrá una forma de pago descrita de la siguiente forma:
Un básico por disponibilidad de ochocientos mil pesos M/Cte. ($800.000) mensuales, adicionalmente se cancelarán doscientos mil pesos M/Cte. ($200.000), por cada niño atendido y hasta los siguientes valores por los elementos que requieran para su manutención, presentando la factura correspondiente. Adicionalmente, cuando a ellos haya lugar, el valor que se liquide por los servicios de atención integral brindada, previa entrega del informe de actividades correspondiente, recibo a satisfacción por parte del supervisor del contrato y de acreditar el pago de seguridad social. Los pagos mensuales se realizarán hasta agotar el valor total del contrato sin que exceda el plazo pactado. Por un plazo de Once (11) meses.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presente contratación se realizará bajo lo especificado en la normatividad vigente, descrita de la siguiente forma: 
Modalidad de contratación directa con único oferente.
Ley 80 de 1993, &amp;quot;Por medio de la cual se expide el Estatuto General de Contratación de la Administración Pública&amp;quot;, quien señala en su artículo 1,
&amp;quot;La presente Ley tiene por objeto disponer las reglas y principios que rigen los contratos de las entidades estatales&amp;quot;. (Ley 80 de 1993, artículo 1).
Igualmente, indica que ,
&amp;quot;Son contratos estatales todos los actos jurídicos generadores de obligaciones que celebren las entidades a que se refiere el presente estatuto, previstos en el derecho privado o en disposiciones especiales, o derivados del ejercicio de la autonomía de la voluntad, asó como los que, a título enunciativo, se definen a continuación&amp;quot; (Ley 80 de 1993, artículo 32).
&amp;quot;[…] Son contratos de prestación de servicios los que celebren las entidades estatales para desarrollar actividades relacionadas con la administración o funcionamiento de la entidad. Estos contratos sólo podrán celebrarse con personas naturales o jurídicas cuando dichas actividades no puedan realizarse con personal de planta o requieran conocimientos especializados. 
Estos contratos no generan en ningún caso relación laboral ni prestaciones sociales. Los contratos a que se refiere este ordinal, se celebrarán por el término estrictamente indispensable.&amp;quot; (Ley 80 de 1993, artículo 32, numeral 3).
Asimismo, la Ley 1150 de 2007 indica que:
&amp;quot;la modalidad de selección de contratación directa, solamente procederá en los siguientes casos:
&amp;quot;[…] Cuando no exista pluralidad de oferentes en el mercado&amp;quot;. (Ley 1150 de 2007, artículo 2 numeral , literal g).
Igualmente, el Decreto 1082 de 2015, referencia la contratación directa para el caso en particular, de la siguiente forma:
&amp;quot;Contratación directa cuando no exista pluralidad de oferentes. Se considera que no existe pluralidad de oferentes cuando existe solamente una persona que puede proveer el bien o el servicio por ser titular de los derechos de propiedad industrial o de los derechos de autor, o por proveer exclusivo en el territorio nacional. Estas circunstancias deben constar en el estudio previo que soporta la contratación&amp;quot; (Decreto 1082 de 2015, artículo 2.2.1.2.1.4.8.).</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Identificado el objeto a contratar, la naturaleza contractual y de conformidad con la modalidad de selección, se realizó un proceso de selección para el hogar de paso del municipio de Hato Corozal  por parte de la Secretaría General y de Gobierno con la dirección del equipo interdisciplinario de la Comisaría de Familia. A la convocatoria solo se presentó la señora seleccionada, la cual cumplió con todas las especificaciones solicitadas por parte del Instituto Colombiano de Bienestar Familiar, por lo tanto mediante acta de aprobación adquiere la calidad de hogar de Paso. Por lo anterior, se evidencia lo consagrado en el artículo 2.2.1.2.1.4.8. del Decreto 1082 de 2015 &amp;quot;Contratación directa cuando no exista pluralidad de oferentes.&amp;quot;</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 ; (Decreto 1082 de 2015, artículo 2.2.1.2.1.4.8).</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El Decreto 1082 de 2015, “Por medio del cual se expide el decreto único reglamentario del sector Administrativo de Planeación Nacional” El presente Decreto introduce nuevas e importantes aplicaciones, entre otros se establece cuatro modalidades de selección para contratar con el estado, las cuales son: licitación pública, selección abreviada, concurso de méritos y contratación directa.
En su artículo 2.2.1.2.1.4.8 insta a la contratación directa, dentro de ellos,
“[…]  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 […]” (Decreto 1082 de 2015, artículo 2.2.1.2.1.4.8).
Ahora bien, teniendo en cuenta que el Municipio de Hato Corozal realizó una convocatoría previa para la selección del hogar de paso que cumpliera con los requisitos exigidos en el Lineamiento Técnico de modalidad para la atención de niños, niñas y adolescentes con derechos inobservados, amenazados o vulnerados, expedido por el Instituto Colombiano de Bienestar Familia-ICBF, se encontró que la señora SARA BARÓN MORENO, fue la única que cumplió con todos los requisitos. Se realiza la presente contratación con la persona señalada anteriormente. (Se anexa acta).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ASISTENCIA A LOS NIÑOS , NIÑAS Y ADOLESCENTES NNA, PARA EL RESTABLECIMIENTO DE DERECHOS EN UN HOGAR DE PASO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de la siguiente manera: Diez (10) actas parciales mensuales de ejecución a razón de ochocientos mil pesos M/Cte. ($800.000) cada una, previa presentación del informe de actividades con visto bueno del supervisor del contrato, pago de seguridad social, y un último pago por el valor de: Ochocientos mil pesos M/Cte. ($800.000), previa presentación del informe final que debe contar con la aprobación del supervisor designado y el pago de seguridad social.
Forma de pago para los gastos variables de conformidad con el soporte económico así: Si durante el periodo de ejecución se contó con el cuidado y protección de niños, niñas y adolescentes (NNA), se pagará el valor adicional de doscientos mil pesos m/cte ($200.000), por cada niño atendido, valor por los elementos que requieran para su manutención, los cuales se cancelaran con base a los soportes adjuntos que demuestren la ejecución y cumplimiento de esta obligación.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