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OBRA PÚBLICA No. 0202 de Fecha 2022-11-08</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0202</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AGINSA INGENIERIA S.A.S</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$123.000.000,00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Un  (1) MES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2022-11-21</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2023-03-23</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Veintiocho</w:t>
      </w:r>
      <w:r w:rsidR="00A13B6D" w:rsidRPr="00A13B6D">
        <w:rPr>
          <w:rFonts w:ascii="Arial" w:hAnsi="Arial" w:cs="Arial"/>
          <w:sz w:val="20"/>
          <w:szCs w:val="20"/>
        </w:rPr>
        <w:t>(</w:t>
      </w:r>
      <w:r>
        <w:rPr>
          <w:rFonts w:ascii="Arial" w:hAnsi="Arial" w:cs="Arial"/>
          <w:sz w:val="20"/>
          <w:szCs w:val="20"/>
        </w:rPr>
        <w:t>28</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Junio</w:t>
      </w:r>
      <w:r w:rsidR="00A13B6D" w:rsidRPr="00A13B6D">
        <w:rPr>
          <w:rFonts w:ascii="Arial" w:hAnsi="Arial" w:cs="Arial"/>
          <w:sz w:val="20"/>
          <w:szCs w:val="20"/>
        </w:rPr>
        <w:t xml:space="preserve"> de </w:t>
      </w:r>
      <w:r w:rsidR="00D949DE">
        <w:rPr>
          <w:rFonts w:ascii="Arial" w:hAnsi="Arial" w:cs="Arial"/>
          <w:sz w:val="20"/>
          <w:szCs w:val="20"/>
        </w:rPr>
        <w:t>2023</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ANA FERNANDA SOTO DAZA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PLANEACIÓN Y POLÍTICA SECTORIAL</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MONICA JAZMIN MENDEZ CARDENAS, identificado(a) con cédula de ciudadanía 65830279 de CHAPARRAL, representante legal de(l-la) AGINSA INGENIERIA S.A.S,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OBRA PÚBLICA No. 0202 del 2022-11-08,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Un  (1) MES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2022-11-21 y hasta el</w:t>
      </w:r>
      <w:r w:rsidR="003C1FA1">
        <w:rPr>
          <w:rFonts w:ascii="Arial" w:hAnsi="Arial" w:cs="Arial"/>
          <w:sz w:val="20"/>
          <w:szCs w:val="20"/>
        </w:rPr>
        <w:t xml:space="preserve"> </w:t>
      </w:r>
      <w:r w:rsidR="00C549E1" w:rsidRPr="00921EE9">
        <w:rPr>
          <w:rFonts w:ascii="Arial" w:hAnsi="Arial" w:cs="Arial"/>
          <w:sz w:val="20"/>
          <w:szCs w:val="20"/>
        </w:rPr>
        <w:t>2023-03-23</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OBRA PÚBLICA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28</w:t>
      </w:r>
      <w:r w:rsidR="00BB7A57" w:rsidRPr="00A13B6D">
        <w:rPr>
          <w:rFonts w:ascii="Arial" w:hAnsi="Arial" w:cs="Arial"/>
          <w:sz w:val="20"/>
          <w:szCs w:val="20"/>
        </w:rPr>
        <w:t xml:space="preserve"> de </w:t>
      </w:r>
      <w:r w:rsidR="00BB7A57">
        <w:rPr>
          <w:rFonts w:ascii="Arial" w:hAnsi="Arial" w:cs="Arial"/>
          <w:sz w:val="20"/>
          <w:szCs w:val="20"/>
        </w:rPr>
        <w:t>Junio</w:t>
      </w:r>
      <w:r w:rsidR="00BB7A57" w:rsidRPr="00A13B6D">
        <w:rPr>
          <w:rFonts w:ascii="Arial" w:hAnsi="Arial" w:cs="Arial"/>
          <w:sz w:val="20"/>
          <w:szCs w:val="20"/>
        </w:rPr>
        <w:t xml:space="preserve"> de </w:t>
      </w:r>
      <w:r w:rsidR="00BB7A57">
        <w:rPr>
          <w:rFonts w:ascii="Arial" w:hAnsi="Arial" w:cs="Arial"/>
          <w:sz w:val="20"/>
          <w:szCs w:val="20"/>
        </w:rPr>
        <w:t>2023</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la administración pagara de la siguiente manera:
1) un anticipo del treinta por ciento (30%) del valor del contrato, previo el cumplimiento de requisitos de perfeccionamiento y ejecución del contrato y suscripción del acta de inicio, aprobación del plan de inversión del anticipo por parte del supervisor.
2)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3) el pago final del 10% del valor total del contrato previa suscripción del acta de terminación y suscripción del acta de liquidación del contrato, una vez cumplidas las obligaciones derivadas del objeto del contrato y su aceptación a satisfacción por parte del interventor y/o supervisor.
el manejo de los recursos entregados al contratista a título de anticipo deberá realizarse en cuenta bancaria de ahorro a nombre del contrato suscrito. así mismo para su desembolso se requiere la aprobación del plan de inversión del anticipo por parte del supervisor.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efectuara los descuentos de la ley del orden nacional, departamental y municipal, según las normas vigentes, de acuerdo con la información tributaria suministrada por el contratista y con la actividad objeto del contrato.</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$123.000.000,00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$36.900.000,00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$123.000.000,00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$36.900.000,00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$123.000.000,00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$36.900.000,00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$86.100.000,00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$123.000.000,00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$36.900.000,00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$86.100.000,00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$86.100.000,00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OBRA PÚBLICA </w:t>
      </w:r>
      <w:r w:rsidRPr="00213B7A">
        <w:rPr>
          <w:rFonts w:ascii="Arial" w:hAnsi="Arial" w:cs="Arial"/>
          <w:sz w:val="20"/>
          <w:szCs w:val="20"/>
        </w:rPr>
        <w:t xml:space="preserve">No. </w:t>
      </w:r>
      <w:r>
        <w:rPr>
          <w:rFonts w:ascii="Arial" w:hAnsi="Arial" w:cs="Arial"/>
          <w:sz w:val="20"/>
          <w:szCs w:val="20"/>
        </w:rPr>
        <w:t xml:space="preserve">0202 </w:t>
      </w:r>
      <w:r w:rsidRPr="00213B7A">
        <w:rPr>
          <w:rFonts w:ascii="Arial" w:hAnsi="Arial" w:cs="Arial"/>
          <w:sz w:val="20"/>
          <w:szCs w:val="20"/>
        </w:rPr>
        <w:t>del</w:t>
      </w:r>
      <w:r>
        <w:rPr>
          <w:rFonts w:ascii="Arial" w:hAnsi="Arial" w:cs="Arial"/>
          <w:sz w:val="20"/>
          <w:szCs w:val="20"/>
        </w:rPr>
        <w:t xml:space="preserve"> 2022-11-08.</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Veintiocho</w:t>
      </w:r>
      <w:r w:rsidR="009E3AE7" w:rsidRPr="00A13B6D">
        <w:rPr>
          <w:rFonts w:ascii="Arial" w:hAnsi="Arial" w:cs="Arial"/>
          <w:sz w:val="20"/>
          <w:szCs w:val="20"/>
        </w:rPr>
        <w:t>(</w:t>
      </w:r>
      <w:r w:rsidR="009E3AE7">
        <w:rPr>
          <w:rFonts w:ascii="Arial" w:hAnsi="Arial" w:cs="Arial"/>
          <w:sz w:val="20"/>
          <w:szCs w:val="20"/>
        </w:rPr>
        <w:t>28)</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Junio</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2023</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ANA FERNANDA SOTO DAZA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MONICA JAZMIN MENDEZ CARDENAS R/L AGINSA INGENIERIA S.A.S</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PLANEACIÓN Y POLÍTICA SECTORIAL</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ANA FERNANDA SOTO DAZA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ANA FERNANDA SOTO DAZA</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OBRA PÚBLICA No. 0202 de 2022-11-08 cuyo Objeto: “CONSTRUCCIÓN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