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0008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PROFESIONAL A LA CONTRATACION EN LA OFICINA DE DESARROLLO SOCIAL, INTEGRAL Y PRODUCTIVO DE LA ALCALDÍA MUNICIPAL DEL MUNICIPIO DE  HATO COROZAL,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Diecisiete  (17) DIAS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2022-01-14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$37.013.333,00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LIZETH JOHELI GARCIA TORRES, identificado(a) con cédula de ciudadanía 1115855017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BRINDAR APOYO PROFESIONAL A LA CONTRATACION EN LA OFICINA DE DESARROLLO SOCIAL, INTEGRAL Y PRODUCTIVO DE LA ALCALDÍA MUNICIPAL DEL MUNICIPIO DE  HATO COROZAL,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$35.200.000,00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$1.813.333,00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$37.013.333,00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El presente contrato se da terminado anticipadamente, teniendo en cuenta que se cumplieron a satisfacción todas las actividades antes del cumplimiento del plazo pactado inicialmente.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LIZETH JOHELI GARCIA TORRES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