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SUMINISTRO DE COMBUSTIBLE (ACPM Y GASOLINA), PARA EL DESARROLLO DE ACTIVIDADES DE CONOCIMIENTO, REDUCCIÓN DEL RIESGO Y MANEJO DE DESASTRES QUE SE PRESENTEN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Siete  (7)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2022-03-25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2022-10-24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$14.997.900,00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SUMINISTRO DE COMBUSTIBLE (ACPM Y GASOLINA), PARA EL DESARROLLO DE ACTIVIDADES DE CONOCIMIENTO, REDUCCIÓN DEL RIESGO Y MANEJO DE DESASTRES QUE SE PRESENTEN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$14.997.900,00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$14.997.900,00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