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0149 de Fecha 2022-08-05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HELMAN CRUZ MORENO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EN LA FORMACIÓN CULTURAL DE LA REGIÓN, COMO INSTRUCTOR DE GUITARRA A LOS NIÑOS, NIÑAS Y ADOLESCENTES DEL MUNICIPIO DE HATO COROZAL, PROMOVIENDO SU PLENO Y ARMONiOSO DESARROLLO.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$7.713.333,00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HELMAN CRUZ MORENO, identificado(a) con cédula de ciudadanía 4153483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0149 del 2022-08-05,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 Un Millón Setecientos Ochenta Mil Pesos M/Cte. ($ 1.780.000),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Quinientos Noventa y Tres Mil Trescientos Treinta y Tres Pesos M/Cte. ($593.333),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$24.920.000,00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$1.780.000,00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HELMAN CRUZ MORENO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0149 de 2022-08-05 cuyo Objeto: BRINDAR APOYO EN LA FORMACIÓN CULTURAL DE LA REGIÓN, COMO INSTRUCTOR DE GUITARRA A LOS NIÑOS, NIÑAS Y ADOLESCENTES DEL MUNICIPIO DE HATO COROZAL, PROMOVIENDO SU PLENO Y ARMONiOSO DESARROLLO.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