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605-47-994000102364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0179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PRESTAR LOS SERVICIOS LOGÍSTICOS, PARA DAR CUMPLIMIENTO A LA ALERTA TEMPRANA No. 075-18 Y GARANTIZAR LA PROTECCIÓN DEL PUEBLO U´WA DEL RESGUARDO INDÍGENA CHAPARRAL BARRONEGRO, JURISDICCIÓN DEL MUNICIPIO DE HATO COROZAL-CASANARE.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INVERSIONES JABENE S.A.S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$2.996.800,00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$2.996.800,00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 LOS BIENES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2023-11-25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$2.996.800,00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Cinco(05) días del mes de Julio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0179 de 2023-07-05 cuyo Objeto: PRESTAR LOS SERVICIOS LOGÍSTICOS, PARA DAR CUMPLIMIENTO A LA ALERTA TEMPRANA No. 075-18 Y GARANTIZAR LA PROTECCIÓN DEL PUEBLO U´WA DEL RESGUARDO INDÍGENA CHAPARRAL BARRONEGRO, JURISDICCIÓN DEL MUNICIPIO DE HATO COROZAL-CASANARE.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