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0142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2023-06-09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BRINDAR APOYO PROFESIONAL COMO ENLACE DE LA POBLACIÓN VÍCTIMA DEL CONFLICTO ARMADO DEL MUNICIPIO DE HATO COROZAL CASANARE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HILLARY LOPEZ LALEMA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1118650244-8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Seis  (06) MESES Y Veinte  (20)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$21.266.666,00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2023-06-09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2023-06-09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2023-12-28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ZULMA LISBETH VIVAS RODRIGUEZ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Nueve(09)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Junio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ZULMA LISBETH VIVAS RODRIGUEZ,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HILLARY LOPEZ LALEMA, identificado(a) con cédula de ciudadanía 1118650244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0142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2023-06-09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Seis (06) mensualidades vencidas a razón de Tres Millones ciento noventa mil pesos M/Cte. ($3.190.000), previa presentación del informe de actividades y comprobante de pago de seguridad social con visto bueno del supervisor del contrato, y un último pago por el valor de Dos millones ciento veintiséis mil seiscientos sesenta y seis pesos M/Cte. ($2.126.666), previa presentación del informe final y suscripción acta de liquidación y comprobante de pago de seguridad social la que debe contar con la aprobación del supervisor designado.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0224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2023-06-08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E211.2.3.2.02.02.009.4101014.2021851250009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$21.266.666,00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0377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2023-06-09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E211.2.3.2.02.02.009.4101014.2021851250009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$21.266.666,00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ZULMA LISBETH VIVAS RODRIGUEZ,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Nueve(09) días del mes de Junio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HILLARY LOPEZ LALEMA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ZULMA LISBETH VIVAS RODRIGUEZ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