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DE APOYO A LA SECRETARIA DE PLANEACION Y POLITICA SECTORIAL EN EL FORTALECIMIENTO Y OPERATIVIDAD DEL BANCO DE PROGRAMAS Y PROYECTOS DEL MUNICIPIO DE HATO COROZAL,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Once  (11)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Diecinueve  (19) DIAS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2022-01-13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2022-12-31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$43.043.334,00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VICENTE CARDENAS DURAN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VICENTE CARDENAS DURAN, identificado(a) con cédula de ciudadanía 4153928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DE APOYO A LA SECRETARIA DE PLANEACION Y POLITICA SECTORIAL EN EL FORTALECIMIENTO Y OPERATIVIDAD DEL BANCO DE PROGRAMAS Y PROYECTOS DEL MUNICIPIO DE HATO COROZAL,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$40.700.000,00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$2.343.334,00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$43.043.334,00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VICENTE CARDENAS DURAN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