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Ampliación de cobertura y calidad educativa en la zona urbana y rural del Municipio de  Hato Corozal , 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2020851250007 , 2020851250010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E31.2.3.2.02.02.005.4301004.2020851250010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$300.000.000,00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E11.2.3.2.02.02.005.2201052.2020851250007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EDUCACION CALIDAD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AMPLIACIÓN MANTENIMIENTO DE LOS ESPACIOS FÍSICOS , REALIZAR MANTENIMIENTO, REMODELACIÓN, MEJORAMIENTO DOTACIÓN Y CONSTRUCCIONES DE ESCENARIOS DEPORTIVOS Y RECREATIVOS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monitoreo y seguimiento a la gestión del sector educativo , Servicio de promoción de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Mantenimiento y adecuación de la infraestructura deportiva en el casco urbano del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12369 habitantes (2023) tomado del DANE entre el aérea urbana y rural del municipio de Hato Corozal.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8</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Que el artículo 2° de la Constitución Política establece que son fines esenciales del estado “servir a la comunidad, promover la prosperidad general y garantizar la efectividad de los principios, derechos y deberes consagrados en la constitución (…)”. Asi mismo, de conformidad con lo dispuesto en los artículos 113 y 288, los diferentes órganos del estado tienen funciones separadas, pero colaboran armónicamente para la realización de sus fines, igualmente, las competencias atribuidas a los distintos niveles territoriales serán ejercidas conforme a los principios de coordinación, concurrencia y subsidiariedad; que el artículo 209 de la misma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que el artículo 14 de la Ley 489 de 1998, en desarrollo del artículo 211 de la constitución política, permite la delegación de funciones de los organismos y entidades administrativas del orden nacional en favor de entidades descentralizadas o entidades territoriales.
Soportado en el anterior marco normativo y en virtud de su misión constitucional y dando cumplimiento a lo establecido en el artículo 52, el estado colombiano mediante la Constitución Política dice: “El ejercicio del deporte, sus manifestaciones recreativas, competitivas y autóctonas tienen como función la formación integral de las personas, preservar y desarrollar una mejor salud en el ser humano. El deporte y la recreación forman parte de la educación y constituyen gasto público social. Se reconoce el derecho de todas las personas a la recreación, a la práctica del deporte y al aprovechamiento del tiempo libre. El Estado fomentará estas actividades e inspeccionará, vigilará y controlará las organizaciones deportivas y recreativas cuya estructura y propiedad deberán ser democráticas”, dentro de las competencias constitucionales que le corresponde al municipio, es mantener y mejorar la infraestructura recreativa; ya que los escenarios deportivos enmarcan una política de mejor calidad de vida urbana, la cual pretende concientizar a la ciudadanía sobre la importancia del espacio público, así como la necesidad de procurar la correcta aplicación de la normatividad urbana, en mejora de las condiciones actuales de vida de ciudades más amables.
La Ley 181 de 1951 por medio de la cual se dictan disposiciones para el fomento del deporte, la recreación, el aprovechamiento del tiempo libre y la educación física y se crea el sistema nacional del deporte. La cual decreta que es necesario que la comunidad tenga acceso al conocimiento y la practica; del deporte, la recreación y el aprovechamiento del tiempo libre. Para garantizar que el estado cumpla con esta postulación, deberá tenerse en cuenta; una coordinación en la gestión deportiva con funciones en el campo del deporte y la recreación brindando un apoyo constante. Así mismo apuntar a la creación de espacios que faciliten la actividad física, el deporte y la recreación; fomentando los hábitos saludables y direccionados al mejoramiento de la calidad de vida y así contribuir al bienestar social. Para que esto se cumpla a cabalidad deben garantizase normas establecidas que enfaticen en la seguridad, cumpliendo con las condiciones físicas y sanitarias de los escenarios deportivos.
Los Juegos Deportivos y Recreativos del Magisterio son la máxima fiesta deportiva y recreativa de los docentes, certamen en el cual muestran su potencial deportivo y lúdico, logrando un mejor aprovechamiento del tiempo libre, una sana convivencia e integración social, tienen como objetivo general brindar a los docentes y directivos docentes, un espacio de recreación, deporte y aprovechamiento del tiempo libre como una forma de aportar a la calidad de vida y a su desempeño en la labor de educadores. La versión XXXV de la Jornada Pedagógica, Cultural, Recreativa y Deportiva del Magisterio de Casanare Interdocentes 2023 será desarrollada en el municipio de Hato Corozal, razón por la cual se espera que durante el desarrollo del evento el municipio presente una reactivación económica.
Se sabe que el ejercicio es fundamental para tener un estilo de vida saludable, tanto niños como adultos deben destinar unos minutos al día para realizar ejercicio o practicar algún deporte, en los niños esta práctica del deporte se da la mayoría del tiempo en las instituciones educativas como parte del desarrollo integral. Los niños y adolescentes se ven beneficiados con esto debido a que mejoran sus habilidades psicomotrices y sociales, estimulando su cerebro constantemente para aprender y recordar mejor cada movimiento. Además, generan sensaciones de felicidad y bienestar lo cual reduce la aparición de enfermedades mentales. 
En este sentido, el deporte como fenómeno cultural, ha evolucionado de muchas formas. Analizado en el marco del mundo contemporáneo, se constituye como un generador de calidad de vida en aspectos de salud, ocio y educación, es, sin duda, la manifestación cultural, social y económica más importante, compleja y apasionante de nuestros tiempos; forma parte necesaria de la acción política y de le planeación social. Dada la importancia que adquiere cada vez más el deporte en los aspectos señalados, debe conocerse a fondo y de manera objetiva las necesidades sociales al respecto, y este conocimiento se debe ver reflejado en la oferta que ofrece el municipio a la comunidad.
El municipio de Hato Corozal cuenta con dos instituciones educativas en su perímetro urbano, mismas que actualmente cuentan con diferentes escenarios deportivos los cuales se encuentran deteriorados, ya que las placas de las canchas presentan fisuras y agrietamientos que pueden generar accidentes e incidentes, también presentan desgaste tanto en la pintura base como en la de demarcación; Con el fin de desarrollar adecuadamente las actividades físicas de los niños y adolescentes es necesario realizar mantenimientos periódicos que beneficien a la comunidad educativa para llevar a cabo el ejercicio del deporte de la mejor manera. Un escenario deportivo dentro de sus instalaciones incluye una serie de áreas básicas como lo son las instalaciones sanitarias, las cuales son de vital importancia porque aseguran el acceso al agua, al saneamiento y a la higiene, esto hace que se asegure la salud en los estudiantes, por ello también es importante intervenir estos espacios.
Asi como sucede en los colegios, para la comunidad en general es igual de importante contar con lugares óptimos que permitan el buen ejercicio del deporte, de manera que sean adecuados y suficientes para atender las necesidades de la población, es por esto por lo que la Administración Municipal “Alto y Sostenible” ve necesario y oportuno realizar el mantenimiento y adecuación de la infraestructura deportiva en el casco urbano del municipio, esto con el fin de aumentar el índice de la práctica del deporte tanto en las instituciones como en la comunidad, así como apoyar y asegurar los espacios de esparcimiento para la Jornada Pedagógica, Cultural, Recreativa y Deportiva del Magisterio de Casanare Interdocentes 2023. En cumplimiento de lo anterior, la Administración municipal estableció dentro del Plan de Desarrollo Municipal “Hato Corozal Alto y sostenible” 2020-2023 aprobado mediante el acuerdo No 200.02.003 del 30 de mayo de 2020, Línea estratégica 1: HATO COROZAL SEMILLERO DE PROYECTOS PARA EL DESARROLLO Y LA INCLUSIÓN SOCIAL, Sector: DEPORTE Y RECREACIÓN, Programa: DEPORTE Y RECREACIÓN “APUESTA POR MEJOR USO DEL TIEMPO LIBRE, y Línea estratégica 2: HATO COROZAL ALTO Y SOSTENIBLE CON GENERACIÓN DE EMPLEO, INFRAESTRUCTURA Y VIVIENDA, Sector: EQUIPAMIENTO, Programa: HATO COROZAL ALTO Y SOSTENIBLE CON ORDENAMIENTO Y DESARROLLO URBANO, propone el proyecto “MANTENIMIENTO Y ADECUACIÓN DE LA INFRAESTRUCTURA DEPORTIVA EN EL CASCO URBANO DEL MUNICIPIO DE HATO COROZAL, DEPARTAMENTO DE CASANARE”. La Gobernación de Casanare por medio de la Secretaria de Educación y la Secretaria de Infraestructura también percibió la importancia de apoyar el mantenimiento de estos espacios a favor del desarrollo de los Juegos Interdocentes 2023, de modo tal que por medio de la primera secretaria se apoyará el mantenimiento de las canchas en los colegios y la segunda realizará la adecuación y mantenimiento de la villa olímpica del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interventoría será ejercida de conformidad con lo establecido en el artículo 83 de la Ley 1474 de 2011, para lo cual la interventoría será contratada de conformidad con los parámetros establecidos en el Decreto 1082 de 2015, Ley 1474 de 2011 y la Ley 80 de 1993, dada la complejidad, multiplicidad de actividades y extensión del proyecto a ejecutar y en cumplimiento al mandato legal enunciado anteriormente, la Entidad adelantara un proceso de contratación para contratar una persona natural o jurídica que realice el seguimiento técnico, administrativo, financiero, ambiental y jurídico del contrato de obra.
El contrato de interventoría externa será supervisado directamente por el municipio de Hato Corozal a través de la Secretaria de Planeación y Política Sectorial o quien este designe para tal fin.
Serán funciones del supervisor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“MANTENIMIENTO Y ADECUACIÓN DE LA INFRAESTRUCTURA DEPORTIVA EN EL CASCO URBANO DEL MUNICIPIO DE HATO COROZAL, DEPARTAMENTO DE CASANARE.” con el objetivo de fomentar, facilitar y apoyar las diferentes iniciativas de tipo social y educativo, que permitan generar espacios adecuados de esparcimiento.
Donde se desarrollaran las siguientes actividades:
-Desmontes
-Instalaciones eléctricas
-Mampostería
-Pisos
-Instalaciones hidraulicas 
-Carpintería Metálica
-Señalización y pintura
-Recubrimiento sintetico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ESPECÍFICAS POR PARTE DEL CONTRATISTA:
1.1. Realizar el desmonte de aparatos sanitarios.
1.2. Realizar el descapote a mano de lugares señalados.
1.3. Realizar la demolición a mano de tableta de piso.
1.4. Realizar el desmonte de lavaderos prefabricados.
1.5. Realizar el desmonte de luminarias en los espacios desportivos requeridos.
1.6. Realizar el desmonte de láminas metálicas.
2.1. Realizar el alistado de pisos con un grosor de 7 cm.
2.2. Realizar el relleno de excavación con material local compactado.
2.3. Realizar enchape de piso con tablon gres vitrificado en las áreas indicadas.
2.4. Realizar la instalación de un piso en adoquín tipo ladrillo con mortero de pegue y sello de juntas en arena.
3.1. Realizar muros en ladrillo estructural portante N° 12 en la primera fila de graderías de las canchas correspondientes.
4.1. Realizar el pañete del muro en ladrillo.
5.1. Hacer uso de aceros de refuerzo grado 37 para la construcción de una base para tanque elevado.
5.2. Hacer uso de aceros de refuerzo grado 60 para la construcción de una base para tanque elevado.
6.1. Realizar zapata en concreto como refuerzo para la construcción de una base para tanque elevado.
6.2. Realizar placa base en concreto de 3000 psi como base para tanque elevado.
6.3. Realizar el suministro y la instalación de un caballete de teja fija de fibrocemento.
6.4. Realizar la columna en concreto de resistencia 3500 psi para soporte de una base para tanque elevado.
7.1. Realizar la pintura en esmalte sobre malla en los puntos requeridos.
7.2. Realizar la pintura en vinilo interior sobre infraestructura requerida.
7.3. Realizar el esmalte sobre lámina llena en las estructuras metálicas requeridas.
7.4. Realizar la pintura en vinilo para exterior en la infraestructura requerida.
8.1. Realizar el suministro e instalación de lavamanos.
8.2. Realizar el suministro e instalación de lavaderos.
8.3. Realizar el suministro e instalación de sanitarios.
8.4. Realizar el suministro e instalación de un tanque elevado de 1000 litros.
8.5. Realizar el suministro e instalación de un tanque elevado de 2000 litros.
8.6. Realizar el suministro e instalación de grifería para lavamanos.
8.7. Realizar el suministro e instalación de un orinal mediano.
8.8. Realizar el suministro e instalación de flotador mecánico de bola para baño.
8.9. Realizar la conexión a caja de aguas negras de lavaderos y duchas.
8.10. Realizar módulos x6 duchas provisionales, teniendo en cuenta las especificaciones brindadas.
9.1. Realizar el suministro e instalación de una lámina HR.
9.2. Realizar el suministro e instalación de unas divisiones en lámina cold rolled para una divisiones de baño.
9.3. Realizar 3 módulos de graderías de 3 niveles, según especificaciones brindadas.
9.4. Realizar 2 plataformas para juez, según especificaciones brindadas.
10.1. Realizar el suministro e instalación de interruptores.
10.2. Realizar el suministro e instalación de tomacorrientes.
10.3. Realizar el suministro e instalación de una luminaria de 100W.
10.4. Realizar el suministro e instalación de rosetas con bombillos.
10.5. Realizar el suministro e instalación de lamparas led high bay en escenarios deportivos.
10.6. Realizar el suministro e instalación de breakers.
10.7. Realizar el suministro e instalación de bombillos led alta potencia de 20W.
10.8. Realizar el suministro e instalación de rosetas.
10.9. Realizar el suministro e instalación de ventiladores.
10.10. Realizar el suministro e instalación de luminarias tipo panel redondo.
11.11 Realizar un recubrimiento sintetico en el piso de los escenarios deportivos requeridos.
GENERALES POR PARTE DEL CONTRATISTA:
1.	Realizar el mantenimiento y adecuación, cumpliendo con los parámetros establecidos por la Secretaria de Planeación y Política Sectorial.  
2.	Garantizar el cumplimiento del contrato dentro del término establecido para ello. 
3.	Garantizar el precio de oferta de los elementos descritos dentro del plazo de ejecución del contrato.
4.	Asumir todos los gastos y riesgos que implica el desarrollo del contrato en los términos, condiciones y exigencias consagradas en la propuesta. 
5.	Pagar de su propia cuenta las tasas, impuestos, publicaciones y contribuciones a que esté obligado en virtud del contrato.
6.	Presentar los documentos necesarios para la legalización y perfeccionamiento del contrato dentro de los términos establecidos. 
7.	Adquirir y presentar las garantías y pólizas conforme a los requerimientos señalados en el pliego de Condiciones.
8.    Suministrar la mano de obra requerida para la ejecución del contrato.
9.	Acatar las instrucciones que durante el desarrollo del contrato sean impartidas por parte del supervisor. 
10.     Asumir los gastos y riesgos que implica el desarrollo del contrato bajo su responsabilidad.
11.	Hacer las entregas de acuerdo con las cantidades, especificaciones, calidades requeridas y precios unitarios fijos adjudicados, dentro del término establecido como plazo de ejecución contractual. 
12.    Actuar de tal manera que primen la eficiencia, la economía, la celeridad y calidad en la ejecución de la obra.
13.   Garantizar la calidad de los materiales a utilizar en la ejecución de la obra.
14.   Suministrar los materiales, mano de obra y equipos de acuerdo con lo estipulado en las especificaciones técnicas, no podrá apartarse de ellos sin la autorización escrita de la Secretaría de Planeación y Política Sectorial del Municipio, en caso contrario perderá el derecho a reclamar el reconocimiento y pago de cualquier suma por concepto adicional que resulte de la modificación de las especificaciones.
15.	Las demás señaladas en la Constitución, la Ley, las cláusulas contractuales, los pliegos y la propuesta. Y demás actividades que el supervisor considere convenientes para la buena ejecución del contrato.
16.  Presentar un informe final para la liquidación del contrato, el cual deberá contar con el visto bueno del Supervisor designado.
17.  Mantener en el lugar de los trabajos el personal mínimo requerido (un residente de obra) para la correcta ejecución de este tipo de obras.
18.  Tomar las precauciones necesarias para la seguridad del personal a su cargo o servicio y los transeúntes, de acuerdo con las reglamentaciones vigentes en el país.
19.  Obrar con diligencia y puntualidad el cuidado necesario en los asuntos que le asigne le supervisor del contrato.
20.  Los trabajadores vinculados deberán estar afiliados al Régimen de Seguridad Social y riesgos profesionales con los pagos respectivamente.
21. Mantener informada a la entidad contratante, en caso de presentarse interrupciones en la ejecución del contrato, por cualquier causa, e implementar medidas transitorias requeridas.
22. Iniciar la ejecución de las actividades de obra oportunamente y garantizar su terminación en el tiempo establecido de acuerdo a lo establecido por la entidad y ofrecido en la oferta.
23. De acuerdo al decreto 536 de 2020 el contratista debe disponer de presentar a la supervisión previo al acta de inicio protocolo de bioseguridad, y los gastos para su implementación serán asumidos por el contratista.
POR PARTE DEL MUNICIPIO
1.	Realizar el pago del contrato en forma pactada en el contrato
2.	Suministrar en forma oportuna la información solicitada por el contratista.
3.	Apoyar la ejecución del contrato en el marco de sus obligaciones.
4.	Resolver las peticiones presentadas por el contratista en los términos consagrados por la ley.
5.     Cumplir y hacer cumplir las condiciones pactadas en el contrato y en los documentos que de él forman parte.
6.     Exigirán del contratista la ejecución idónea y oportuna del objeto contratado.
7.     Adelantar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72152710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72151903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72153100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72153103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72152509</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81101505</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alcance de las obras se hará de acuerdo a las especificaciones técnicas y actividades específicas anexas (VER ANEXO) a este documento, se debe tener en cuenta que las obras objeto de este proceso se ejecutarán de acuerdo con las siguientes especifícaciones de construcción:
El contratista deberá adelantar los trabajos o actividades programadas y contempladas para el presente proyecto atendiendo las especificaciones técnicas generales del presente proceso de selección que constituyen parte integral del presente documento, implementando el mayor grado de tecnificación posible que garantice la calidad de los trabajos, así como el cumplimiento de los plazos de ejecución. Para lo cual, deberá ejecutar el desarrollo de las actividades de obra, en las especificaciones y unidades de medidas según lo exigido en el presupuesto oficial del presente proceso. 
Las actividades correspondientes al objeto contractual se ejecutarán con el cumplimineto de las siguientes normas ténicas:
- Norma Colombiana de Construcción Sismo Resistente - NSR 10
- Manual de especificaciones técnicas de construcción CAMACOL
- Norma Técnica Colombiana NTC 2050 - Código Eléctrico Colombiano
- Resolución 472 de 2017 por la cual se reglamenta la gestión integral de los residuos generados en las actividades de construcción y demolición - RCD
Del mismo modo, se deberán tener en cuenta todas las recomendaciones y observaciones del supervisor.
OTROS ASPECTOS A TENER EN CUENTA:
Las labores de replanteo de la obra, investigación de interferencias y exploraciones de campo, estarán a cargo del contratista, no tendrán item de pago por separado y sus costos deber-án estar incluidos en los precios unitarios de los items correspondientes o en los gastos administrativos del contrato.
Realizar todos los trámites necesarios para obtener las autorizaciones antes las diferentes empresas de servicios para la ejecución de trabajos de horas nocturnas, demoliciones, traslados de árboles, intervención de redes existentes, etc. De igual manera del contratista tramitará y responderá ante las entidades competentes los permisos y legalización de las instalaciones provisionales de servicios públicos, mantenimiento, ampliación y los costos que se generen.
Asumir el costo de cualquier daño ocasionado a estructuras existentes por causa de movimiento de maquinaria y demás, obligándose a repararlo a su costa en el menor tiempo posible, eximienod de cualquier responsabilidad, obligación o culpa al municipio.
Todos los materiales a utilizar en la ejecución de la obra deben ser nuevos y de primera calidad. Todos los materiales necesarios para la ejecución de cualquier obra, sin excepción deberán ser presentados con sus correspondientes especificaciones y fichas técnicas a la supervisión, para que a su juicio las apruebe.
El contratista deberá tener en cuenta en su propuesta todos los costos directos e indirectos necesarios para la ejecución del contrato. Cualquier omisión, inconsistencia o error en la elaboración de los análisis de precios unitarios, imputables al contratista, no será objeto de reclamación.</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contratista que realice la adecuación para las obras propuestas del presente estudio previo, estará obligado a realizar actividades o ítems con el mayor grado de tecnificación posible y adquirido mediante la ejecución programática de las acciones que conlleven a la ejecución del objeto contractual, teniendo en cuenta todas las especificaciones técnicas relacionadas con las obras que incluya el proyecto.
1. Se anexa informe de visita técnica, en donde se relaciona la información suficiente que evidencia la necesidad de realizar el mantenimiento y adecuación de los diferentes escenarios deportivos del casco urbano del municipio de  Hato Corozal, dicho informe hace parte integral del presente estudio previo. 
2. Proyecto formulado en la metodología general ajustada: "Fortalecimiento, desarrollo y practica del deporte, la recreación y aprovechamiento del tiempo libre en el municipio de Hato Corozal"
3. El proyecto se encuentra enmarcado en el Plan de Desarrollo Municipal “ALTO Y SOSTENIBLE 2020 - 2023”
Línea estratégica 1: HATO COROZAL SEMILLERO DE PROYECTOS PARA EL DESARROLLO Y LA INCLUSIÓN SOCIAL
Sector: DEPORTE Y RECREACIÓN
Programa: DEPORTE Y RECREACIÓN “APUESTA POR MEJOR USO DEL TIEMPO LIBRE, 
Meta de resultado: El 20% de niños, niñas, adolescentes, jóvenes y adultos mayores participen en actividades lúdicas, recreativas o deportivas del municipio.
Meta de producto: Realizar mantenimiento, remodelación, mejoramiento dotación y construcciones de escenarios deportivos y recreativos.
Línea estratégica 2: HATO COROZAL ALTO Y SOSTENIBLE CON GENERACIÓN DE EMPLEO, INFRAESTRUCTURA Y VIVIENDA
Sector: EQUIPAMIENTO
Programa: HATO COROZAL ALTO Y SOSTENIBLE CON ORDENAMIENTO Y DESARROLLO URBANO
Meta de resultado: Construcción, dotación y mejoramiento de espacios amigables inclusivos y productivos para el desarrollo integral de la población.
Meta de producto: Realizar construcción, mantenimiento y adecuación de la infraestructura de uso público del Municipio.
4. 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-Decreto - Ley 019 de 2012. 
-Ley 1474 de 2011
-Ley 1712 de 2014.
-Decreto1082 de 2015.   
-Acuerdo No. PTA 200-02-003 del 30 de mayo de 2020 “Por medio del cual se adopta el Plan de Desarrollo del Municipio de Hato Corozal, para el periodo 2020-2023 y se dictan otras disposiciones”.
-Reglamento Colombiano de Construcción Sismo Resistente NSR 
-Y demás normas concordantes y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de Planeación y Política Sectorial para realizar sus presupuestos utiliza como metodología y referencia la base de datos de Construplan, Resolución 077 de 20 de abril de 2022, este contiene las diferentes actividades con sus rendimientos por ítem, su base de insumo se actualiza por medio de un estudio de mercado local y grandes proveedores nacionales, costos de transporte y facilidad de adquisición.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(VER ANEXO). El cálculo estimado para adelantar el proyecto objeto de este estudio previo es de CUATROCIENTOS DIEZ MILLONES DE PESOS MCTE ($410.000.000,00)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 continuación, se relacionan los impuestos, tasas o contribuciones que deben ser tenidos en cuenta al momento de estructurar la propuesta:
• Estampilla Pro cultura correspondiente al 2% del valor total del contrato. 
• Estampilla Pro adulto mayor correspondiente al 4% del valor total del contrato.
• Estampilla Pro deporte correspondiente al 2% del valor total del contrato. 
• Tasa del Fondo de seguridad correspondiente al 5% del valor total del contrato. 
• Reteica 1% del valor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supera la menor cuantia; segun lo indicado  en el articulo 2 numeral 1, de la Ley 1150 del 2.007 y en atencion a que  el objeto que nos ocupa, no se encuentra dentro de las excepciones que se señalan en los numerales 2, 3 y 4 del articulo 2, de la Ley 1150 del 2007.  
En consecuencia, el ofrecimiento mas favorable  para la entidad sera de acuerdo a lo determinado en el articulo 2.2.1.1.2.2.2 del Decreto 1082 de 2.015; el que se obtenga teniendo en cuenta: la ponderacion de los elementos de calidad y precio soportados en puntajes de acuerdo a las  formulas señaladas en el anexo de “Requisitos Habilitantes”; y el procedimiento a seguir para la seleccion, sera el que indica el articulo 30 de la Ley 80 de 1.993, en concordancia con el  Decreto 1082 de 2.015 y las demas normas generales establecidas. La modalidad se establecio de acuerdo a la normatividad, teniendo en cuenta las caracteristicas del objeto a contratar, las circunstancias de la contratación y la cuantia del proceso que supera la menor cuantia; segun lo indicado en el articulo 2 numeral 1, de la Ley 1150 del 2007 y en atención a que el objeto no se encuentra dentro de las excepciones que señalan en los numerales 2, 3 y 4 del artículo 2, de la Ley 1150 del 2007.
En consecuencia, el ofrecimiento mas favorable para la entidad sera de acuerdo a lo determinado en el articulo 2.2.1.1.2.2.2 del Decreto 1082 de 2015; el que se obtenga teniendo en cuenta: la ponderación de los elementos de calidad y precio soportafos en puntajes de acuerdo a las formulas señaladas en el anexo de "Requisitos habilitantes"; y el procedimiento a seguir para la selecci´pn sera el que indica el artículo 30 de la Ley 80 de 1993, en concordancia con el Decreto 1082 de 2015 y las demas normas generales establecidas.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La Alcaldia de Hato Corozal,  evaluara las Ofertas de los Proponentes que hayan acreditado los requisitos habilitantes por medio de la ponderacion del factor economico y el tecnico de acuerdo con los puntajes indicados en el anexo de “Requisitos Habilitantes”. De acuerdo a los siguientes factores: La alcaldia de Hato Corozal, evaluará las ofertas de los proponentes que hayan acreditado los requisitos habilitantes por medio de la ponderación del factor económico y el técnico de acuerdo con los puntajes indicados en el anexo de "Requisitos Habilitantes".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DE CONTRATACIÓN</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UN (1) AÑO Y SEIS (6) MESES A PARTIR DE LA ENTREGA DE LA OBRA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MANTENIMIENTO Y ADECUACIÓN DE INFRAESTRUCTURA DEPORTIVA, RECREATIVA Y EDUCATIVA EN EL CASCO URBANO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Casco urbano del municipio de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cancelará el valor del contrato de acuerdo con los Precios Unitarios establecidos en la propuesta seleccionada, la cual forma parte integral del contrato, de la siguiente forma:
1) El valor total del contrato, será cancelado mediante actas parciales hasta un (80%), de acuerdo con las cantidades de obra aceptadas por la Supervisión, previa verificación del cumplimiento del contratista en sus obligaciones con el Sistema de Seguridad Social conforme a la Ley 828 de 2003 (salud, pensión, riesgos profesionales) y aportes parafiscales.
2) Un pago final correspondiente al saldo del valor del contrato, equivalente al (20%) del valor total del contrato, será cancelado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3) La modalidad de pago será por precio unitario fijo, conforme con los precios que se relacionan en la oferta seleccionada.
PARÁGRAFO: El Municipio efectuará los descuentos de ley del orden Nacional y Departamental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 Y 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410.000.000,00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ANA FERNANDA SOTO DAZA</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1118650686</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SECRETARIO(A) DE PLANEACIÓN Y POLÍTICA SECTORIAL</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