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LA REINSTALACIÓN Y CONFIGURACIÓN DEL SOFTWARE SC PROSOFT EN LOS EQUIPOS DE LA ALCALDIA MEL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 y el software que se va a reinstalar y configurar</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lo establecido en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teniendo en cuenta los preceptos legales consagrados en la Ley 1551 de 2012, se encuentran las funciones de los municipios en referencia a los asuntos municipales, se encuentra la prestación de los servicios que sean determinados por la Constitución y por la Ley. Asi mismo, la promoción del desarrollo del municipio, con la ejecución de proyectos que busquen la prosperidad de su territorio. (Ley 1551 de 2012, artículo 6, numeral 1 y 3). 
Teniendo en cuenta lo anterior, la Administración Municipal “Hato Corozal Alto y Sostenible 2020-2023” se encuentra efectuando y desarrollando estrategias de fortalecimiento para el funcionamiento de las gestiones de tipo administrativas y financieras, con el objetivo de manejar con mayor celeridad las acciones de la Entidad Territorial. 
El municipio de Hato Corozal, hasta la vigencia 2018 hizo uso de la licencia del software denominado "Programa integrado de contabilidad, inventarios, cartera, nómina y presupuesto y SC - SERVICIOS CONTABLES PROSOFT. El propósito de este software era el de dar cumplimiento a lo establecido en la ley 734 de 2002, que obliga a las entidades del gobierno a dar cumplimiento a las disposiciones impartidas por la Contaduría General de la Nación en cuanto a política, principio y plazos en materia contable, adicionalmente el municipio debía adoptar y dar cumplimiento a lo estipulado en la resolución 533 de 2015, mediante la cual se incorpora como parte integrante del régimen de contabilidad pública, el marco conceptual para la preparación y presentación de la información financiera y las normas para el reconocimiento, , medición revelación y presentación de los hechos económicos aplicables a las entidades de gobierno con el fin de producir información confiable, oportuna y veraz.
Para el año 2019, la administración de la época, adquirió el software denominado CONTRACTVS con la empreesa SISOFT SOLUCIONES INFORMATICAS S.A.S el cual tiene el mismo propósito del programa mencionado con anterioridad pero con un sistema operativo y lenguaje de programación más moderno además de contar con el servicio en la nube es decir, poderlo consultar y trabajar desde cualquier dispositivo de manera remota. En esa medida y para mantener el servicio activo, el municipio cada año ha venido contratando el mantenimiento y actualización de dicho Software.
Teniendo en cuenta que con la adquisición del nuevo software el municipio no volvió a contratar la actualización del programa PROSOFT, pero si se adquirió un nuevo equipo que hace las veces de servidor en el cual no se encuentra instalado este programa; y como quiera que se requiere consultar información de la vigencia 2019 hacia atrás, es necesario contratar la reinstalación y configuración del software SC Prosoft en los equipos de propiedad de la entidad para cumplir con los requerimientos de información de las diferentes entidades y órganos de control. El objetivo principal de la plataforma es realizar el proceso de consultas y extracción de información de las vigencias en que estuvo activo en el municipio.
De acuerdo a lo anteriormente expuesto, se concluye que es oportuno contratar el servicio de reinstalación y configuración del software SC Prosoft en algunos equipos, contratación que deberá hacerse de manera directa con la empresa creadora del software toda que que es la dueña de la propiedad intelectual y provvedro exclusivo de la marca.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Teniendo en cuenta que las actividades a desarrollar están directamente ligadas a la actividad contractual del munłcłp1o de Hato Corozal, la complejidad de las actividades a desarrollar no requiere de interventoría contratada de manera externa, por lo tanto solo se efectuaran labores de supervisión de las tareas a desarrollar por el contratista, las cuales estarán a cargo del la Secretaría de hacienda y la oficina asesora Jurídica, para lo cual no requiere de personal de apoyo, dicha supervisión se regirá bajo las disposiciones contempladas en el artículo 83 y 84 de la ley 1474 de 2011.</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servicios de  reinstalación y configuración del software SC Prosoft en otros equipos de propiedad de la entidad de manera que se pueda consultar la información financiera de la entidad de la vigencia 2019 hacia atrás.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Reinstalar y configurar el software SC Prosoft en los equipos de cómputo de la administración municipal 
2. Capacitar en el manejo de la plataforma, a los funcionarios y contratistas, nuevos y antiguos, encargados del manejo de los procesos en la dependencia, previa solicitud formal de la entidad.
3. Generar reportes en pantalla o informes impresos en formatos PDF o Excel, que la entidad requiera, según solicitud expresa del supervisor a través de correo electrónico.
4. Realizar BACKUP de base de datos, por el tiempo del contrato, dejando copia en un CD el cual deberá ser entregado a la secretaria hacienda de la entidad debidamente rotulado.
5. Presentar un informe del desarrollo de las actividades, presentando la documentación que sea requerida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43230000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43231600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 las actividades planteadas y según las requerimientos determinados en la necesidad que se describe en el presente estudio previo, se hace necesario celebrar un contrato de prestación de servicios con la firma propietaria de los programas fuente, que es la única que puede realizar dicho soporte y actualizaciones, on el	personal	capacitado	para	tal	fin.
PERFILES	DEL	PERSONAL	Y	EXPERIENCIA	EN	SC – PROSOFT.
Persona jurídica con 10 años de experiencia relacionada que cuente con derechos de autor del software a reintalar, debidamente inscrito en el ministerio del interior en la dirección nacional de derechos de autor.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presente estudio previo se encuentra soportado por las normas legales y demás Decretos Reglamentańos tales como:
-Ley	80 de 1993.
-Ley	1150 de 2007.
-Ley	489	de 1998.
-Decreto	Ley	019	de 2012.
-Decreto	1082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la cotización presentada por el propietario de los derechos de autor del programa la cual asciende a la suma de Dos millones ciento sesenta mil pesos ($ 2.160.000) M/cte, valor que incluye todos los gastos contractuales y de legalización y ejecución como estampillas, personal, seguridad social, etc.</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Que en cumplimiento de los objetivos y fines del estado, y teniendo en cuenta las razones expuestas en la necesidad y soporte técnico, aplica la modalidad de prevista en el literal g) del numeral 4 del artículo 2 de la ley 1150 de 2007 en concordancia con el decreto 1082 del 2015 que señala: “CONTRATACIÓN DIRECTA CUANDO NO EXISTA PLURALIDAD DE OFERENTES-: se considera que no existe pluralidad de oferentes cuando existe solamente una persona que pueda proveer el bien o el servicio por ser titular de los derechos de propiedad industrial o de los derechos de autor, o por ser proveedor exclusivo en el territorio nacional. Estas circunstancias deberán constar en el estudio previo que soporta la contratación”.
En este caso la firma  SC PROSOFT SAS, desarrollo el software denominado SC – PROSOFT, el cual fue adquirido por la Alcaldía de Hato Corozal Casanare y en el año 2019 fue reemplazado por un software más moderno.
Al  respecto, el sistema tiene como función primordial llevar a cabo los procedimientos financieros, presupuestales, y contractuales de cada una de las dependencias de una manera organizada y sistematizada buscando con ello agilizar y optimizar en cada uno de los procesos misionales que se adelantan cumpliendo con los requerimientos legales estipulados en la	normatividad vigente.
Dadas las características del servicio y el software que se requiere para las acciones requeridas en los procesos contractuales que adelanta la Administración Municipal, la firma  SC PROSOFT SAS, es la persona que puede proveer el servicio por ser titular de los derechos de propiedad industrial o de los derechos de autor, o por ser, su proveedor exclusivo.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Para cumplir con el objeto del presente estudio previo, se requiere contratar con una persona natural o jurídica inscrita en Cámara de Comercio, propietaria de los derechos de autor y que, dentro de sus actividades comerciales tenga contemplado el desarrollo de sistemas de Información de propósito específico o desarrollados a la medida y que cuente con experiencia en el desarrollo de software y sistemas en ambiente Web.
Se acude a la modalidad de contratación directa prevista en el literal g del numeral 4 del artículo 2 de la Ley 1150 de 2007, ya que se trata de un contrato de prestación de servicios con único proveedor de conformidad con lo analizado previamente. Por el tipo de servicio requerido, debe exhibirse y acreditarse ser titular de los derechos de autor y se tendrá en cuenta como requisitos de evaluación de la propuesta la experiencia y calidad de esta.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Teniendo en cuenta la naturaleza jurídica del contrato que se va a celebrar y conforme a lo expresado en la Ley, los factores de selección que permiten la escogencia del ofrecimiento más favorable para la entidad son los siguientes: Contratación directa al tratarse de un servicio amparado bajo la figura de derechos de autor debidamente registrado ante el minicterio del interior.</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jurídica con 10 años de experiencia relacionada que cuente con derechos de autor del software a reintalar, debidamente inscrito en el ministerio del interior en la dirección nacional de derechos de autor.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LA REINSTALACIÓN Y CONFIGURACIÓN DEL SOFTWARE SC PROSOFT EN LOS EQUIPOS DE LA ALCALDIA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mediante un único pago mediante acta de liquidación por valor de DOS MILLONES CIENTO SESENTA MIL PESOS  ($2.160.000), previa presentación de la factura o informe final, una vez se haya cumplido a satisfacción el objeto contratado, previa certificación de cumplimiento expedida por el supervisor designado y el contratista este al día con los pagos de seguridad social y aportes parafiscales cuando a ello corresponda.</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CELEBRADO EN EJERCICIO DE LOS DERECHOS DE AUTOR</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