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MARCOS ELADIO NIETO, identificado(a) con cédula de ciudadanía 4153197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COMO ENLACE, PARA ADELANTAR LOS PROCESOS QUE SE DERIVEN DEL PROGRAMA FAMILIAS EN ACCIÓN, EN CUMPLIMIENTO A LA NORMATIVIDAD VIGENTE Y A LO CONTEMPLADO EN EL CONVENIO 379 DE 2020.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Diez  (10)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$35.000.000,00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$35.000.000,00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MARCOS ELADIO NIETO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$3.500.000,00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$10.500.000,00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$3.500.000,00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MARCOS ELADIO NIETO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PROFESIONALES No. 0031 de 2023-01-20 cuyo Objeto: PRESTAR LOS SERVICIOS PROFESIONALES COMO ENLACE, PARA ADELANTAR LOS PROCESOS QUE SE DERIVEN DEL PROGRAMA FAMILIAS EN ACCIÓN, EN CUMPLIMIENTO A LA NORMATIVIDAD VIGENTE Y A LO CONTEMPLADO EN EL CONVENIO 379 DE 2020.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