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2-45-ISGT/2.3.2.02.02.009.450202200.2020851250014</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INGRESOS CORRIENTES DE LIBRE DESTINACION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LOGISTICA PARA GARANTIZAR LA EJECUCION DE ACTIVIDADES DE RENDICION DE CUENTAS VIGENCIA 2022 DEL PLAN DE DESARROLLO HATO COROZAL ALTO Y SOSTENIBLE 2020-2023.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Habitantes población registrada en la base de datos del SISBEN METODOLOGÍA III certificada por el departamento nacional de planeación DNP para el municipio de Hato Corozal, fecha de corte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Conforme lo dispone la Constitución Política de Colombia en su 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En plan de desarrollo HATO COROZAL “ALTO Y SOSTENIBLE” 2020-2023 contempla en su linea Estratégica 4: HATO   COROZAL ALTO   Y   SOSTENIBLE POR EL FORTALECIMIENTO INSTITUCIONAL Y COMUNITARIO, SECTOR: FORTALECIMEINTO INSTITUCIONAL, PROGRAMA: HATO COROZAL POR UN GOBIERNO SOSTENIBLE, ACTIVIDAD: FORTALECER LA GESTIÓN ADMINISTRATIVA.
La Rendición de Cuentas es un componente de los principios constitucionales de transparencia publicidad y responsabilidad. Rendir cuentas es dar explicaciones, justificar, someter al escrutinio público, al examen, a la revisión de la ciudadanía, las decisiones y las actuaciones de los servidores públicos en desarrollo de la gestión de lo público. Constitucionalmente los servidores públicos están al servicio del Estado y al servicio de la comunidad.
La Rendición de Cuentas a la ciudadanía tiene como propósito posibilitar mejores condiciones de transparencia, generar confianza entre gobernantes y ciudadanía, y facilitar el control social. La Rendición de Cuentas, más que un ejercicio de información de lo realizado en la gestión pública, debe entenderse como un momento privilegiado de interlocución entre los gobernantes y la ciudadanía. No se trata de un informe que la ciudadanía recibe pasivamente, es un instrumento para hacer seguimiento y evaluación a la administración pública. Es la posibilidad de evaluar, de dar explicaciones, de mostrar las fortalezas y las dificultades. Rendir cuentas fortalece el sentido de lo público. Es una oportunidad para que la ciudadanía conozca y se apropie de los asuntos públicos. Rendir cuentas fortalece la gobernabilidad y posibilita la generación de confianza entre gobernante y ciudadanía. El informe de rendición de cuentas se hará en el Municipio de Hato Corozal Casanare en base en indicadores de avance y resultados. Esto permite identificar con claridad si se cumplieron o no las metas previstas en el Plan de Desarrollo “HATO COROZAL “ALTO Y SOSTENIBLE 2020-2023”. El informe explicará, además, cuáles han sido las dificultades que han tenido en la ejecución del Plan de Desarrollo Municipal.
Que para Para llevar a cabo este proceso se requiere de una logística que garantice el éxito del evento tales como sonido, lugar de presentación, transmisión por los principales canales y/o redes sociales, cuñas radiales que logre que la comunidad, gremios, asociaciones se informen y participen del evento tanto en el área urbana como en lo rural.
Que la necesidad a satisfacer por parte de la administración es contratar una persona natural o jurídica con el objetivo de realizar el apoyo logístico a las diferentes actividades de rendición de cuentas ciudadanas sobre la gestión de la administración que se presenten en el municipio de Hato Corozal para la vigencia 2021.
Para el Municipio es pertinente ejecutar las actividades consignadas en el presente estudio previo, en la  PRESTACION DE SERVICIOS DE APOYO LOGISTICO PARA GARANTIZAR LA EJECUCION DE ACTIVIDADES DE RENDICION DE CUENTAS VIGENCIA 2022 DEL PLAN DE DESARROLLO HATO COROZAL ALTO Y SOSTENIBLE 2020-2023.
Que la necesidad que se plantea en el presente estudio previo, se encuentra prevista en el Plan Anual de Adquisiciones para la vigencia 2022, conforme lo establece el Decreto 1082 de 2015, por el cual se reglamenta el sistema de compras y contratación pública, expedido por el Departamento Nacional de Planeación.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El presente estudio previo contiene el respectivo estudio o análisis del sector en los términos del Artículo 2.2.1.1.1.6.1 del decreto 1082 de 2015.
(VER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Planecion y Politica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DIFUNDIR Y TRANSMITIR  EN VIVO POR MEDIOS MASIVOS DE COMUNICACION LA AUDIENCIA PUBLICA DE RENDICION DE CUENTAS DEL MUNICIPIO DE HATO COROZAL DE LA VIGENCIA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Cumplir con el objeto del contrato con plena autonomía técnica y administrativa y bajo su propia responsabilidad, por lo tanto, no existe ni existirá ningún tipo de subordinación, ni vínculo laboral alguno entre EL CONTRATISTA y el MUNICIPIO.
2.	El Contratista será responsable ante las autoridades de los actos u omisiones que en el ejercido de las actividades que, dentro del desarrollo del contrato, se cumplan cuando con ellos se cause perjuicio a la administración o a terceros.
3.	Realizar las actividades descritas dentro del plazo establecido y hasta el monto de los recursos apropiados.
4.	Coordinar y concertar con el supervisor del contrato las actividades a realizar.
5.	Presentar informe de las actividades debidamente soportado, con registros fotográficos de entrega y recepción a satisfacción por parte del almacén municipal.
6.	Presentar afiliación y pago al sistema de seguridad social de conformidad con la normatividad vigente
7.	Ejecutar el objeto contractual, oportuno, eficaz y eficientemente, cumplimiento con las condiciones jurídicas y comerciales presentadas en la oferta y de conformidad con las finalidades y principios de transparencia, economía, responsabilidades consagradas en la ley y en los postulados de la función administrativa.
8.	Cumplir con las demás instrucciones que le sean impartidas por el supervisor, de acuerdo a la naturaleza del contrato.
Obligaciones del contratista
1.	Cumplir con el objeto del presente contrato.
2.	Cumplir con las obligaciones frente al sistema de seguridad social integral
3.	Desarrollar el contrato con idoneidad, y dentro de los principios y conceptos éticos de pulcritud y oportunidad que la comunidad espera y la ley y las buenas costumbres exigen a todo contratista del Estado, en este caso el Municipio de Hato Corozal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80141902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81161800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81161801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50192701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24111509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80141607</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cubrir la necesidad contemplada en el presente estudio previo, la Administración Municipal, suscribirá un contrato de PRESTACION DE SERVICIOS, con una persona natural o jurídica que cuente con la capacidad de ejecutar el objeto propuesto siempre que demuestre su idoneidad y experiencia relacionada con las actividades, quien deberá cumplir las siguientes especificaciones técnicas.
Ver anexo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 En plan de desarrollo HATO COROZAL “ALTO Y SOSTENIBLE” 2020-2023 contempla en su linea Estratégica 4: HATO   COROZAL ALTO   Y   SOSTENIBLE POR EL FORTALECIMIENTO INSTITUCIONAL Y COMUNITARIO, SECTOR: FORTALECIMEINTO INSTITUCIONAL, PROGRAMA: HATO COROZAL POR UN GOBIERNO SOSTENIBLE,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1757 de 201 ;POR LA CUAL SE DICTAN DISPOSICIONES EN MATERIA DE PROMOSION Y PROTECCIÓN DEL DERECHO A LA PARTICIPACIÓN DEMOCRÁTICA El objeto de la presente leyes promover, proteger y garantizar modalidades del derecho a participar en la vida política, administrativa, económica, social y cultural, y así mismo a controlar el poder político, 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 Así mismo TITULO IV  DE LA RENDICIÓN DE CUENTAS, Capítulo I  Rendición de cuentas de la Rama Ejecutiva,  ARTICULO 57. Respuesta a los informes de rendición de cuentas. El Congreso de la República tendrá un mes de plazo para evaluar, dictaminar y responder a los informes anuales de rendición de cuentas que presente el gobierno a través de sus ministerios. las mesas directivas de las cámaras confiarán su estudio a las respectivas comisiones constitucionales o legales, o a una comisión accidental. 
Parágrafo. los concejos municipales y distritales, las asambleas departamentales y las Juntas Administradoras locales, también tendrán un mes de plazo para evaluar, dictaminar y responder a los informes anuales de rendición de cuentas que presenten los alcaldes municipales, distritales, locales y los gobernadores al respectivo cuerpo colegiado que le corresponda la evaluación . 
Documento Conpes 3654 de abril de 2010, Política de Rendición de Cuentas de la Rama Ejecutiva a los ciudadanos. La elaboración de este documento y la propuesta de política que responde a objetivos del actual gobierno, fue direccionado por el Departamento Nacional de Planeación- DNP, el Programa Presidencial de Lucha Contra la Corrupción- PPLCC y el Departamento Administrativo de la Función Pública- DAFP, a través de la Dirección de Empleo Público y  se resaltan compromisos que deben ser asumidos por todas las entidades públicas, para consolidar una cultura de rendición de cuentas de las entidades públicas a la ciudadanía. De igual forma Este documento de política va dirigido a las entidades de la rama ejecutiva en el orden nacional que se establecen en los artículos 38 y 39 de la Ley 489 de 1998, así como a los servidores públicos de acuerdo con lo señalado en el artículo 123 de la Constitución Política de Colombia.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presente estudio previo fue elaborado por el profesional de apoyo JAIME GUARNIZO INOCENCIO y  revisado y aprobado por el Secretario de Planeacion y Politica Sectorial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realización de eventos con el fin de establecer el menor valor del mismo. Se anexa estudio de mercado
3) De manera oportuna se recibieron las cotizaciones solicitadas atendiendo las especificaciones y generalidades consagradas en la invitación correspondiente.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que tienen sede en el Departamento de Casanare,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PRESTACION  DE SERVCIOS  DE APOYO LOGISTICO PARA GARANTIZAR LA EJECUCION DE ACTIVIDADES DE RENDICION DE CUENTAS VIGENCIA 2022 DEL PLAN DE DESARROLLO HATO COROZAL ALTO Y SOSTENIBLE 2020-2023.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Ocho  (8)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